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7C38" w14:textId="77777777" w:rsidR="0019316C" w:rsidRPr="00316CD0" w:rsidRDefault="0019316C">
      <w:pPr>
        <w:rPr>
          <w:szCs w:val="20"/>
          <w:lang w:val="mk-MK"/>
        </w:rPr>
      </w:pPr>
    </w:p>
    <w:p w14:paraId="18B25859" w14:textId="77777777" w:rsidR="0019316C" w:rsidRPr="00316CD0" w:rsidRDefault="0019316C">
      <w:pPr>
        <w:rPr>
          <w:szCs w:val="20"/>
          <w:lang w:val="mk-MK"/>
        </w:rPr>
      </w:pPr>
    </w:p>
    <w:p w14:paraId="499A1CAA" w14:textId="77777777" w:rsidR="009813D5" w:rsidRPr="00316CD0" w:rsidRDefault="009813D5" w:rsidP="000C6D17">
      <w:pPr>
        <w:autoSpaceDE w:val="0"/>
        <w:spacing w:before="600"/>
        <w:jc w:val="center"/>
        <w:rPr>
          <w:rFonts w:eastAsia="Times New Roman"/>
          <w:b/>
          <w:bCs/>
          <w:szCs w:val="20"/>
          <w:lang w:eastAsia="ar-SA"/>
        </w:rPr>
      </w:pPr>
    </w:p>
    <w:p w14:paraId="0CF414B1" w14:textId="133DEC2C" w:rsidR="0019316C" w:rsidRPr="000C6D17" w:rsidRDefault="0019316C" w:rsidP="00E352D4">
      <w:pPr>
        <w:autoSpaceDE w:val="0"/>
        <w:spacing w:before="120"/>
        <w:jc w:val="center"/>
        <w:rPr>
          <w:sz w:val="22"/>
          <w:lang w:val="mk-MK"/>
        </w:rPr>
      </w:pPr>
      <w:r w:rsidRPr="000C6D17">
        <w:rPr>
          <w:rFonts w:eastAsia="Times New Roman"/>
          <w:b/>
          <w:bCs/>
          <w:sz w:val="22"/>
          <w:lang w:eastAsia="ar-SA"/>
        </w:rPr>
        <w:t xml:space="preserve">ИПА </w:t>
      </w:r>
      <w:proofErr w:type="spellStart"/>
      <w:r w:rsidRPr="000C6D17">
        <w:rPr>
          <w:rFonts w:eastAsia="Times New Roman"/>
          <w:b/>
          <w:bCs/>
          <w:sz w:val="22"/>
          <w:lang w:eastAsia="ar-SA"/>
        </w:rPr>
        <w:t>програма</w:t>
      </w:r>
      <w:proofErr w:type="spellEnd"/>
      <w:r w:rsidRPr="000C6D17">
        <w:rPr>
          <w:rFonts w:eastAsia="Times New Roman"/>
          <w:b/>
          <w:bCs/>
          <w:sz w:val="22"/>
          <w:lang w:eastAsia="ar-SA"/>
        </w:rPr>
        <w:t xml:space="preserve"> </w:t>
      </w:r>
      <w:proofErr w:type="spellStart"/>
      <w:r w:rsidRPr="000C6D17">
        <w:rPr>
          <w:rFonts w:eastAsia="Times New Roman"/>
          <w:b/>
          <w:bCs/>
          <w:sz w:val="22"/>
          <w:lang w:eastAsia="ar-SA"/>
        </w:rPr>
        <w:t>за</w:t>
      </w:r>
      <w:proofErr w:type="spellEnd"/>
      <w:r w:rsidRPr="000C6D17">
        <w:rPr>
          <w:rFonts w:eastAsia="Times New Roman"/>
          <w:b/>
          <w:bCs/>
          <w:sz w:val="22"/>
          <w:lang w:eastAsia="ar-SA"/>
        </w:rPr>
        <w:t xml:space="preserve"> </w:t>
      </w:r>
      <w:proofErr w:type="spellStart"/>
      <w:r w:rsidRPr="000C6D17">
        <w:rPr>
          <w:rFonts w:eastAsia="Times New Roman"/>
          <w:b/>
          <w:bCs/>
          <w:sz w:val="22"/>
          <w:lang w:eastAsia="ar-SA"/>
        </w:rPr>
        <w:t>граѓанско</w:t>
      </w:r>
      <w:proofErr w:type="spellEnd"/>
      <w:r w:rsidRPr="000C6D17">
        <w:rPr>
          <w:rFonts w:eastAsia="Times New Roman"/>
          <w:b/>
          <w:bCs/>
          <w:sz w:val="22"/>
          <w:lang w:eastAsia="ar-SA"/>
        </w:rPr>
        <w:t xml:space="preserve"> </w:t>
      </w:r>
      <w:proofErr w:type="spellStart"/>
      <w:r w:rsidRPr="000C6D17">
        <w:rPr>
          <w:rFonts w:eastAsia="Times New Roman"/>
          <w:b/>
          <w:bCs/>
          <w:sz w:val="22"/>
          <w:lang w:eastAsia="ar-SA"/>
        </w:rPr>
        <w:t>општество</w:t>
      </w:r>
      <w:proofErr w:type="spellEnd"/>
      <w:r w:rsidRPr="000C6D17">
        <w:rPr>
          <w:rFonts w:eastAsia="Times New Roman"/>
          <w:b/>
          <w:bCs/>
          <w:sz w:val="22"/>
          <w:lang w:eastAsia="ar-SA"/>
        </w:rPr>
        <w:t xml:space="preserve"> и </w:t>
      </w:r>
      <w:proofErr w:type="spellStart"/>
      <w:r w:rsidRPr="000C6D17">
        <w:rPr>
          <w:rFonts w:eastAsia="Times New Roman"/>
          <w:b/>
          <w:bCs/>
          <w:sz w:val="22"/>
          <w:lang w:eastAsia="ar-SA"/>
        </w:rPr>
        <w:t>медиуми</w:t>
      </w:r>
      <w:proofErr w:type="spellEnd"/>
      <w:r w:rsidR="004975C3" w:rsidRPr="000C6D17">
        <w:rPr>
          <w:rFonts w:eastAsia="Times New Roman"/>
          <w:b/>
          <w:bCs/>
          <w:sz w:val="22"/>
          <w:lang w:eastAsia="ar-SA"/>
        </w:rPr>
        <w:t xml:space="preserve"> 2016-2017</w:t>
      </w:r>
    </w:p>
    <w:p w14:paraId="1E279595" w14:textId="77777777" w:rsidR="009813D5" w:rsidRPr="000C6D17" w:rsidRDefault="009813D5" w:rsidP="004975C3">
      <w:pPr>
        <w:jc w:val="center"/>
        <w:rPr>
          <w:sz w:val="22"/>
          <w:lang w:val="mk-MK"/>
        </w:rPr>
      </w:pPr>
    </w:p>
    <w:p w14:paraId="0ACA9349" w14:textId="3CEB35D7" w:rsidR="00F74186" w:rsidRPr="000C6D17" w:rsidRDefault="004975C3" w:rsidP="004975C3">
      <w:pPr>
        <w:jc w:val="center"/>
        <w:rPr>
          <w:sz w:val="22"/>
          <w:lang w:val="mk-MK"/>
        </w:rPr>
      </w:pPr>
      <w:r w:rsidRPr="000C6D17">
        <w:rPr>
          <w:sz w:val="22"/>
          <w:lang w:val="mk-MK"/>
        </w:rPr>
        <w:t xml:space="preserve">Поддршка на граѓански организации во рамки на </w:t>
      </w:r>
      <w:r w:rsidR="005864C1" w:rsidRPr="000C6D17">
        <w:rPr>
          <w:sz w:val="22"/>
          <w:lang w:val="mk-MK"/>
        </w:rPr>
        <w:t>проектот</w:t>
      </w:r>
    </w:p>
    <w:p w14:paraId="188107DA" w14:textId="77777777" w:rsidR="0019316C" w:rsidRPr="000C6D17" w:rsidRDefault="0019316C" w:rsidP="004975C3">
      <w:pPr>
        <w:jc w:val="center"/>
        <w:rPr>
          <w:sz w:val="22"/>
          <w:lang w:val="mk-MK"/>
        </w:rPr>
      </w:pPr>
    </w:p>
    <w:p w14:paraId="2916EFBE" w14:textId="5DA4923A" w:rsidR="0019316C" w:rsidRPr="000C6D17" w:rsidRDefault="000C6D17" w:rsidP="004975C3">
      <w:pPr>
        <w:jc w:val="center"/>
        <w:rPr>
          <w:sz w:val="22"/>
          <w:lang w:val="mk-MK"/>
        </w:rPr>
      </w:pPr>
      <w:r w:rsidRPr="000C6D17">
        <w:rPr>
          <w:sz w:val="22"/>
          <w:lang w:val="mk-MK"/>
        </w:rPr>
        <w:t>Проект</w:t>
      </w:r>
    </w:p>
    <w:p w14:paraId="6FF812AE" w14:textId="267D44DC" w:rsidR="0019316C" w:rsidRPr="000C6D17" w:rsidRDefault="0019316C" w:rsidP="004975C3">
      <w:pPr>
        <w:jc w:val="center"/>
        <w:rPr>
          <w:b/>
          <w:sz w:val="22"/>
          <w:lang w:val="mk-MK"/>
        </w:rPr>
      </w:pPr>
      <w:r w:rsidRPr="000C6D17">
        <w:rPr>
          <w:b/>
          <w:sz w:val="22"/>
          <w:lang w:val="mk-MK"/>
        </w:rPr>
        <w:t>„Да зборуваме за климатските промени“</w:t>
      </w:r>
    </w:p>
    <w:p w14:paraId="1AF18211" w14:textId="77777777" w:rsidR="0019316C" w:rsidRPr="000C6D17" w:rsidRDefault="0019316C" w:rsidP="004975C3">
      <w:pPr>
        <w:jc w:val="center"/>
        <w:rPr>
          <w:i/>
          <w:sz w:val="22"/>
          <w:lang w:val="mk-MK"/>
        </w:rPr>
      </w:pPr>
      <w:r w:rsidRPr="000C6D17">
        <w:rPr>
          <w:i/>
          <w:sz w:val="22"/>
          <w:lang w:val="mk-MK"/>
        </w:rPr>
        <w:t>Спроведуван од Еко-свест, ЦНВП Македонија и ДЕМ</w:t>
      </w:r>
    </w:p>
    <w:p w14:paraId="3E178C89" w14:textId="77777777" w:rsidR="0019316C" w:rsidRPr="000C6D17" w:rsidRDefault="0019316C" w:rsidP="004975C3">
      <w:pPr>
        <w:jc w:val="center"/>
        <w:rPr>
          <w:sz w:val="22"/>
          <w:lang w:val="mk-MK"/>
        </w:rPr>
      </w:pPr>
    </w:p>
    <w:p w14:paraId="3DA2F576" w14:textId="23079664" w:rsidR="009813D5" w:rsidRDefault="009813D5" w:rsidP="000C6D17">
      <w:pPr>
        <w:spacing w:before="600"/>
        <w:jc w:val="center"/>
        <w:rPr>
          <w:b/>
          <w:szCs w:val="20"/>
          <w:lang w:val="mk-MK"/>
        </w:rPr>
      </w:pPr>
    </w:p>
    <w:p w14:paraId="75213538" w14:textId="3AEBF492" w:rsidR="000C6D17" w:rsidRDefault="000C6D17" w:rsidP="000C6D17">
      <w:pPr>
        <w:spacing w:before="600"/>
        <w:jc w:val="center"/>
        <w:rPr>
          <w:b/>
          <w:szCs w:val="20"/>
          <w:lang w:val="mk-MK"/>
        </w:rPr>
      </w:pPr>
    </w:p>
    <w:p w14:paraId="0912494D" w14:textId="77777777" w:rsidR="000C6D17" w:rsidRPr="00316CD0" w:rsidRDefault="000C6D17" w:rsidP="000C6D17">
      <w:pPr>
        <w:spacing w:before="600"/>
        <w:jc w:val="center"/>
        <w:rPr>
          <w:b/>
          <w:szCs w:val="20"/>
          <w:lang w:val="mk-MK"/>
        </w:rPr>
      </w:pPr>
    </w:p>
    <w:p w14:paraId="7A31CE38" w14:textId="77777777" w:rsidR="009813D5" w:rsidRPr="00316CD0" w:rsidRDefault="009813D5" w:rsidP="004975C3">
      <w:pPr>
        <w:jc w:val="center"/>
        <w:rPr>
          <w:b/>
          <w:szCs w:val="20"/>
          <w:lang w:val="mk-MK"/>
        </w:rPr>
      </w:pPr>
    </w:p>
    <w:p w14:paraId="28772CC0" w14:textId="428CA8F2" w:rsidR="0019316C" w:rsidRPr="000C6D17" w:rsidRDefault="002E1EDC" w:rsidP="004975C3">
      <w:pPr>
        <w:jc w:val="center"/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КАМПАЊА</w:t>
      </w:r>
      <w:r w:rsidR="0057188F">
        <w:rPr>
          <w:b/>
          <w:sz w:val="36"/>
          <w:szCs w:val="36"/>
          <w:lang w:val="mk-MK"/>
        </w:rPr>
        <w:t xml:space="preserve"> ЗА ОДРЖЛИВО ЖИВЕЕЊЕ</w:t>
      </w:r>
    </w:p>
    <w:p w14:paraId="7EFC9870" w14:textId="77777777" w:rsidR="0019316C" w:rsidRPr="00316CD0" w:rsidRDefault="0019316C" w:rsidP="004975C3">
      <w:pPr>
        <w:jc w:val="center"/>
        <w:rPr>
          <w:szCs w:val="20"/>
          <w:lang w:val="mk-MK"/>
        </w:rPr>
      </w:pPr>
    </w:p>
    <w:p w14:paraId="0585AEE8" w14:textId="77777777" w:rsidR="009813D5" w:rsidRPr="00316CD0" w:rsidRDefault="009813D5" w:rsidP="004975C3">
      <w:pPr>
        <w:jc w:val="center"/>
        <w:rPr>
          <w:b/>
          <w:szCs w:val="20"/>
          <w:lang w:val="mk-MK"/>
        </w:rPr>
      </w:pPr>
    </w:p>
    <w:p w14:paraId="3B7106F6" w14:textId="63C1311A" w:rsidR="0019316C" w:rsidRPr="000C6D17" w:rsidRDefault="0019316C" w:rsidP="004975C3">
      <w:pPr>
        <w:jc w:val="center"/>
        <w:rPr>
          <w:b/>
          <w:sz w:val="28"/>
          <w:szCs w:val="28"/>
          <w:lang w:val="mk-MK"/>
        </w:rPr>
      </w:pPr>
      <w:r w:rsidRPr="000C6D17">
        <w:rPr>
          <w:b/>
          <w:sz w:val="28"/>
          <w:szCs w:val="28"/>
          <w:lang w:val="mk-MK"/>
        </w:rPr>
        <w:t>Повик и упатство за пријавување</w:t>
      </w:r>
    </w:p>
    <w:p w14:paraId="7A24D205" w14:textId="77777777" w:rsidR="0019316C" w:rsidRPr="00316CD0" w:rsidRDefault="0019316C" w:rsidP="004975C3">
      <w:pPr>
        <w:jc w:val="center"/>
        <w:rPr>
          <w:szCs w:val="20"/>
          <w:lang w:val="mk-MK"/>
        </w:rPr>
      </w:pPr>
    </w:p>
    <w:p w14:paraId="5ECBB0AD" w14:textId="16039CB5" w:rsidR="009813D5" w:rsidRDefault="009813D5" w:rsidP="004975C3">
      <w:pPr>
        <w:jc w:val="center"/>
        <w:rPr>
          <w:szCs w:val="20"/>
          <w:lang w:val="mk-MK"/>
        </w:rPr>
      </w:pPr>
    </w:p>
    <w:p w14:paraId="239F8CDE" w14:textId="77777777" w:rsidR="000C6D17" w:rsidRPr="00316CD0" w:rsidRDefault="000C6D17" w:rsidP="004975C3">
      <w:pPr>
        <w:jc w:val="center"/>
        <w:rPr>
          <w:szCs w:val="20"/>
          <w:lang w:val="mk-MK"/>
        </w:rPr>
      </w:pPr>
    </w:p>
    <w:p w14:paraId="59B4C1A4" w14:textId="77777777" w:rsidR="009813D5" w:rsidRPr="000C6D17" w:rsidRDefault="009813D5" w:rsidP="004975C3">
      <w:pPr>
        <w:jc w:val="center"/>
        <w:rPr>
          <w:sz w:val="22"/>
          <w:lang w:val="mk-MK"/>
        </w:rPr>
      </w:pPr>
    </w:p>
    <w:p w14:paraId="719A1508" w14:textId="4745BEC7" w:rsidR="0019316C" w:rsidRPr="000C6D17" w:rsidRDefault="0019316C" w:rsidP="004975C3">
      <w:pPr>
        <w:jc w:val="center"/>
        <w:rPr>
          <w:sz w:val="22"/>
          <w:lang w:val="mk-MK"/>
        </w:rPr>
      </w:pPr>
      <w:r w:rsidRPr="000C6D17">
        <w:rPr>
          <w:sz w:val="22"/>
          <w:lang w:val="mk-MK"/>
        </w:rPr>
        <w:t xml:space="preserve">Референца: </w:t>
      </w:r>
      <w:proofErr w:type="spellStart"/>
      <w:r w:rsidR="00613A89" w:rsidRPr="000C6D17">
        <w:rPr>
          <w:sz w:val="22"/>
          <w:lang w:val="en-US"/>
        </w:rPr>
        <w:t>EuropeAid</w:t>
      </w:r>
      <w:proofErr w:type="spellEnd"/>
      <w:r w:rsidR="00613A89" w:rsidRPr="000C6D17">
        <w:rPr>
          <w:sz w:val="22"/>
          <w:lang w:val="en-US"/>
        </w:rPr>
        <w:t>/155322/DD/ACT/MK</w:t>
      </w:r>
    </w:p>
    <w:p w14:paraId="0E20E367" w14:textId="77777777" w:rsidR="00983564" w:rsidRPr="000C6D17" w:rsidRDefault="00983564" w:rsidP="004975C3">
      <w:pPr>
        <w:jc w:val="center"/>
        <w:rPr>
          <w:sz w:val="22"/>
          <w:lang w:val="mk-MK"/>
        </w:rPr>
      </w:pPr>
    </w:p>
    <w:p w14:paraId="3F25C0A1" w14:textId="1EC0A9A2" w:rsidR="0019316C" w:rsidRPr="000C6D17" w:rsidRDefault="0019316C" w:rsidP="004975C3">
      <w:pPr>
        <w:jc w:val="center"/>
        <w:rPr>
          <w:sz w:val="22"/>
          <w:lang w:val="mk-MK"/>
        </w:rPr>
      </w:pPr>
      <w:r w:rsidRPr="000C6D17">
        <w:rPr>
          <w:sz w:val="22"/>
          <w:lang w:val="mk-MK"/>
        </w:rPr>
        <w:t>Краен рок за поднесување на апликации:</w:t>
      </w:r>
    </w:p>
    <w:p w14:paraId="60385CB4" w14:textId="553C8BE9" w:rsidR="009813D5" w:rsidRPr="00EF5454" w:rsidRDefault="0057188F" w:rsidP="004975C3">
      <w:pPr>
        <w:jc w:val="center"/>
        <w:rPr>
          <w:b/>
          <w:sz w:val="22"/>
          <w:lang w:val="mk-MK"/>
        </w:rPr>
      </w:pPr>
      <w:r>
        <w:rPr>
          <w:b/>
          <w:sz w:val="22"/>
          <w:lang w:val="mk-MK"/>
        </w:rPr>
        <w:t>29</w:t>
      </w:r>
      <w:r>
        <w:rPr>
          <w:b/>
          <w:sz w:val="22"/>
          <w:lang w:val="en-US"/>
        </w:rPr>
        <w:t xml:space="preserve"> </w:t>
      </w:r>
      <w:r>
        <w:rPr>
          <w:b/>
          <w:sz w:val="22"/>
          <w:lang w:val="mk-MK"/>
        </w:rPr>
        <w:t xml:space="preserve">декември </w:t>
      </w:r>
      <w:r w:rsidR="009E2F17" w:rsidRPr="00EF5454">
        <w:rPr>
          <w:b/>
          <w:sz w:val="22"/>
          <w:lang w:val="mk-MK"/>
        </w:rPr>
        <w:t>2019 година во 23:59 часот</w:t>
      </w:r>
    </w:p>
    <w:p w14:paraId="71D38FD6" w14:textId="77777777" w:rsidR="009813D5" w:rsidRPr="00316CD0" w:rsidRDefault="009813D5">
      <w:pPr>
        <w:rPr>
          <w:szCs w:val="20"/>
          <w:highlight w:val="red"/>
          <w:lang w:val="mk-MK"/>
        </w:rPr>
      </w:pPr>
      <w:r w:rsidRPr="00316CD0">
        <w:rPr>
          <w:szCs w:val="20"/>
          <w:highlight w:val="red"/>
          <w:lang w:val="mk-MK"/>
        </w:rPr>
        <w:br w:type="page"/>
      </w:r>
    </w:p>
    <w:p w14:paraId="688522EF" w14:textId="77777777" w:rsidR="00983564" w:rsidRPr="00316CD0" w:rsidRDefault="00983564" w:rsidP="004975C3">
      <w:pPr>
        <w:jc w:val="center"/>
        <w:rPr>
          <w:szCs w:val="20"/>
          <w:lang w:val="mk-MK"/>
        </w:rPr>
      </w:pPr>
    </w:p>
    <w:p w14:paraId="265BA98C" w14:textId="77777777" w:rsidR="0019316C" w:rsidRPr="00316CD0" w:rsidRDefault="0019316C" w:rsidP="0096755E">
      <w:pPr>
        <w:spacing w:before="1200"/>
        <w:rPr>
          <w:szCs w:val="20"/>
          <w:lang w:val="mk-MK"/>
        </w:rPr>
      </w:pPr>
    </w:p>
    <w:p w14:paraId="25841729" w14:textId="77777777" w:rsidR="0019316C" w:rsidRPr="00316CD0" w:rsidRDefault="0019316C">
      <w:pPr>
        <w:rPr>
          <w:szCs w:val="20"/>
          <w:lang w:val="mk-MK"/>
        </w:rPr>
      </w:pPr>
    </w:p>
    <w:sdt>
      <w:sdtPr>
        <w:rPr>
          <w:rFonts w:eastAsiaTheme="minorHAnsi"/>
          <w:color w:val="auto"/>
          <w:sz w:val="20"/>
          <w:szCs w:val="22"/>
          <w:lang w:val="en-GB"/>
        </w:rPr>
        <w:id w:val="249785843"/>
        <w:docPartObj>
          <w:docPartGallery w:val="Table of Contents"/>
          <w:docPartUnique/>
        </w:docPartObj>
      </w:sdtPr>
      <w:sdtEndPr>
        <w:rPr>
          <w:b/>
          <w:bCs/>
          <w:noProof/>
          <w:szCs w:val="20"/>
        </w:rPr>
      </w:sdtEndPr>
      <w:sdtContent>
        <w:p w14:paraId="57793551" w14:textId="53ECE979" w:rsidR="003630C1" w:rsidRPr="00316CD0" w:rsidRDefault="00266F61" w:rsidP="007F7B1E">
          <w:pPr>
            <w:pStyle w:val="TOCHeading"/>
          </w:pPr>
          <w:proofErr w:type="spellStart"/>
          <w:r w:rsidRPr="00316CD0">
            <w:t>Содржина</w:t>
          </w:r>
          <w:proofErr w:type="spellEnd"/>
        </w:p>
        <w:p w14:paraId="42C59DA6" w14:textId="77777777" w:rsidR="00E05FE8" w:rsidRPr="00316CD0" w:rsidRDefault="00E05FE8" w:rsidP="00E05FE8">
          <w:pPr>
            <w:rPr>
              <w:szCs w:val="20"/>
              <w:lang w:val="mk-MK"/>
            </w:rPr>
          </w:pPr>
        </w:p>
        <w:bookmarkStart w:id="0" w:name="_GoBack"/>
        <w:bookmarkEnd w:id="0"/>
        <w:p w14:paraId="58037E87" w14:textId="0CD777C3" w:rsidR="00E47BD5" w:rsidRDefault="003630C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 w:rsidRPr="00316CD0">
            <w:rPr>
              <w:szCs w:val="20"/>
            </w:rPr>
            <w:fldChar w:fldCharType="begin"/>
          </w:r>
          <w:r w:rsidRPr="00316CD0">
            <w:rPr>
              <w:szCs w:val="20"/>
            </w:rPr>
            <w:instrText xml:space="preserve"> TOC \o "1-3" \h \z \u </w:instrText>
          </w:r>
          <w:r w:rsidRPr="00316CD0">
            <w:rPr>
              <w:szCs w:val="20"/>
            </w:rPr>
            <w:fldChar w:fldCharType="separate"/>
          </w:r>
          <w:hyperlink w:anchor="_Toc28013332" w:history="1">
            <w:r w:rsidR="00E47BD5" w:rsidRPr="002B4092">
              <w:rPr>
                <w:rStyle w:val="Hyperlink"/>
                <w:noProof/>
              </w:rPr>
              <w:t>Вовед, цели на повикот и очекувани резултати</w:t>
            </w:r>
            <w:r w:rsidR="00E47BD5">
              <w:rPr>
                <w:noProof/>
                <w:webHidden/>
              </w:rPr>
              <w:tab/>
            </w:r>
            <w:r w:rsidR="00E47BD5">
              <w:rPr>
                <w:noProof/>
                <w:webHidden/>
              </w:rPr>
              <w:fldChar w:fldCharType="begin"/>
            </w:r>
            <w:r w:rsidR="00E47BD5">
              <w:rPr>
                <w:noProof/>
                <w:webHidden/>
              </w:rPr>
              <w:instrText xml:space="preserve"> PAGEREF _Toc28013332 \h </w:instrText>
            </w:r>
            <w:r w:rsidR="00E47BD5">
              <w:rPr>
                <w:noProof/>
                <w:webHidden/>
              </w:rPr>
            </w:r>
            <w:r w:rsidR="00E47BD5">
              <w:rPr>
                <w:noProof/>
                <w:webHidden/>
              </w:rPr>
              <w:fldChar w:fldCharType="separate"/>
            </w:r>
            <w:r w:rsidR="00E47BD5">
              <w:rPr>
                <w:noProof/>
                <w:webHidden/>
              </w:rPr>
              <w:t>3</w:t>
            </w:r>
            <w:r w:rsidR="00E47BD5">
              <w:rPr>
                <w:noProof/>
                <w:webHidden/>
              </w:rPr>
              <w:fldChar w:fldCharType="end"/>
            </w:r>
          </w:hyperlink>
        </w:p>
        <w:p w14:paraId="1919DB2F" w14:textId="1D45D288" w:rsidR="00E47BD5" w:rsidRDefault="00E47B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8013333" w:history="1">
            <w:r w:rsidRPr="002B4092">
              <w:rPr>
                <w:rStyle w:val="Hyperlink"/>
                <w:noProof/>
                <w:lang w:eastAsia="mk-MK"/>
              </w:rPr>
              <w:t>Опис на повикот и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_Toc28013333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A6142" w14:textId="1E202D98" w:rsidR="00E47BD5" w:rsidRDefault="00E47B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8013334" w:history="1">
            <w:r w:rsidRPr="002B4092">
              <w:rPr>
                <w:rStyle w:val="Hyperlink"/>
                <w:noProof/>
              </w:rPr>
              <w:t>Рок и Вредност на договорот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_Toc28013334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1E9E3" w14:textId="25761781" w:rsidR="00E47BD5" w:rsidRDefault="00E47B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8013335" w:history="1">
            <w:r w:rsidRPr="002B4092">
              <w:rPr>
                <w:rStyle w:val="Hyperlink"/>
                <w:noProof/>
              </w:rPr>
              <w:t>Критериуми за учество на повикот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_Toc28013335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652D4" w14:textId="2D4E447B" w:rsidR="00E47BD5" w:rsidRDefault="00E47B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8013336" w:history="1">
            <w:r w:rsidRPr="002B4092">
              <w:rPr>
                <w:rStyle w:val="Hyperlink"/>
                <w:noProof/>
              </w:rPr>
              <w:t>Начин на  аплицирање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_Toc28013336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44CAF" w14:textId="7CB4BF92" w:rsidR="00E47BD5" w:rsidRDefault="00E47B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8013337" w:history="1">
            <w:r w:rsidRPr="002B4092">
              <w:rPr>
                <w:rStyle w:val="Hyperlink"/>
                <w:noProof/>
              </w:rPr>
              <w:t>Оценување и избор на апликациите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_Toc28013337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31730" w14:textId="7540F4FD" w:rsidR="003630C1" w:rsidRPr="00316CD0" w:rsidRDefault="003630C1">
          <w:pPr>
            <w:rPr>
              <w:szCs w:val="20"/>
            </w:rPr>
          </w:pPr>
          <w:r w:rsidRPr="00316CD0">
            <w:rPr>
              <w:b/>
              <w:bCs/>
              <w:noProof/>
              <w:szCs w:val="20"/>
            </w:rPr>
            <w:fldChar w:fldCharType="end"/>
          </w:r>
        </w:p>
      </w:sdtContent>
    </w:sdt>
    <w:p w14:paraId="5A22F066" w14:textId="2F16FFFF" w:rsidR="0019316C" w:rsidRPr="00316CD0" w:rsidRDefault="0019316C">
      <w:pPr>
        <w:rPr>
          <w:szCs w:val="20"/>
          <w:lang w:val="mk-MK"/>
        </w:rPr>
      </w:pPr>
      <w:r w:rsidRPr="00316CD0">
        <w:rPr>
          <w:szCs w:val="20"/>
          <w:lang w:val="mk-MK"/>
        </w:rPr>
        <w:br w:type="page"/>
      </w:r>
    </w:p>
    <w:p w14:paraId="096D5D50" w14:textId="2F99E9A0" w:rsidR="0019316C" w:rsidRPr="00551CD5" w:rsidRDefault="0019316C" w:rsidP="007F7B1E">
      <w:pPr>
        <w:pStyle w:val="Heading1"/>
      </w:pPr>
      <w:bookmarkStart w:id="1" w:name="_Toc28013332"/>
      <w:r w:rsidRPr="00551CD5">
        <w:lastRenderedPageBreak/>
        <w:t>Вовед</w:t>
      </w:r>
      <w:r w:rsidR="00EF0158" w:rsidRPr="00551CD5">
        <w:t>, цели на повикот и очекувани резултати</w:t>
      </w:r>
      <w:bookmarkEnd w:id="1"/>
    </w:p>
    <w:p w14:paraId="2C9E3301" w14:textId="57B3C3FC" w:rsidR="0000080F" w:rsidRPr="0057188F" w:rsidRDefault="0000080F" w:rsidP="0000080F">
      <w:pPr>
        <w:jc w:val="both"/>
        <w:rPr>
          <w:b/>
          <w:bCs/>
          <w:color w:val="000000"/>
          <w:szCs w:val="20"/>
          <w:lang w:val="mk-MK" w:eastAsia="mk-MK"/>
        </w:rPr>
      </w:pPr>
      <w:r w:rsidRPr="00052615">
        <w:rPr>
          <w:b/>
          <w:bCs/>
          <w:color w:val="000000"/>
          <w:szCs w:val="20"/>
          <w:lang w:val="mk-MK" w:eastAsia="mk-MK"/>
        </w:rPr>
        <w:t xml:space="preserve">Центарот за истражување и информирање за животна средина Еко-свест објавува повик за </w:t>
      </w:r>
      <w:r w:rsidR="0057188F">
        <w:rPr>
          <w:b/>
          <w:bCs/>
          <w:color w:val="000000"/>
          <w:szCs w:val="20"/>
          <w:lang w:val="mk-MK" w:eastAsia="mk-MK"/>
        </w:rPr>
        <w:t>кампања за</w:t>
      </w:r>
      <w:r w:rsidR="002E1EDC">
        <w:rPr>
          <w:b/>
          <w:bCs/>
          <w:color w:val="000000"/>
          <w:szCs w:val="20"/>
          <w:lang w:val="mk-MK" w:eastAsia="mk-MK"/>
        </w:rPr>
        <w:t xml:space="preserve"> </w:t>
      </w:r>
      <w:r w:rsidR="0057188F">
        <w:rPr>
          <w:b/>
          <w:bCs/>
          <w:color w:val="000000"/>
          <w:szCs w:val="20"/>
          <w:lang w:val="mk-MK" w:eastAsia="mk-MK"/>
        </w:rPr>
        <w:t xml:space="preserve">одржливо живеење </w:t>
      </w:r>
      <w:r w:rsidRPr="00052615">
        <w:rPr>
          <w:b/>
          <w:bCs/>
          <w:color w:val="000000"/>
          <w:szCs w:val="20"/>
          <w:lang w:val="mk-MK" w:eastAsia="mk-MK"/>
        </w:rPr>
        <w:t>за граѓански организации</w:t>
      </w:r>
      <w:r w:rsidR="0057188F">
        <w:rPr>
          <w:b/>
          <w:bCs/>
          <w:color w:val="000000"/>
          <w:szCs w:val="20"/>
          <w:lang w:val="mk-MK" w:eastAsia="mk-MK"/>
        </w:rPr>
        <w:t xml:space="preserve"> и/или приватни компании</w:t>
      </w:r>
      <w:r w:rsidRPr="00052615">
        <w:rPr>
          <w:b/>
          <w:bCs/>
          <w:color w:val="000000"/>
          <w:szCs w:val="20"/>
          <w:lang w:val="mk-MK" w:eastAsia="mk-MK"/>
        </w:rPr>
        <w:t>. Повикот е дел од проектот „Да зборуваме за климатските промени“ финансиран од Европската Унија и спроведуван од Еко-свест, ЦНВП Македонија и Движењето на екологистите на Македонија.</w:t>
      </w:r>
    </w:p>
    <w:p w14:paraId="4C178614" w14:textId="77777777" w:rsidR="001625EC" w:rsidRPr="00316CD0" w:rsidRDefault="001625EC" w:rsidP="0000080F">
      <w:pPr>
        <w:jc w:val="both"/>
        <w:rPr>
          <w:b/>
          <w:bCs/>
          <w:color w:val="000000"/>
          <w:szCs w:val="20"/>
          <w:lang w:val="mk-MK" w:eastAsia="mk-MK"/>
        </w:rPr>
      </w:pPr>
    </w:p>
    <w:p w14:paraId="034FD6DD" w14:textId="77777777" w:rsidR="00BF0CF5" w:rsidRPr="0057188F" w:rsidRDefault="004F6C4D" w:rsidP="0000080F">
      <w:pPr>
        <w:jc w:val="both"/>
        <w:rPr>
          <w:bCs/>
          <w:color w:val="000000"/>
          <w:szCs w:val="20"/>
          <w:lang w:val="en-US" w:eastAsia="mk-MK"/>
        </w:rPr>
      </w:pPr>
      <w:r w:rsidRPr="00316CD0">
        <w:rPr>
          <w:bCs/>
          <w:color w:val="000000"/>
          <w:szCs w:val="20"/>
          <w:lang w:val="mk-MK" w:eastAsia="mk-MK"/>
        </w:rPr>
        <w:t>П</w:t>
      </w:r>
      <w:r w:rsidR="0000080F" w:rsidRPr="00316CD0">
        <w:rPr>
          <w:bCs/>
          <w:color w:val="000000"/>
          <w:szCs w:val="20"/>
          <w:lang w:val="mk-MK" w:eastAsia="mk-MK"/>
        </w:rPr>
        <w:t xml:space="preserve">роектот „Да зборуваме за климатските промени“ </w:t>
      </w:r>
      <w:r w:rsidRPr="00316CD0">
        <w:rPr>
          <w:bCs/>
          <w:color w:val="000000"/>
          <w:szCs w:val="20"/>
          <w:lang w:val="mk-MK" w:eastAsia="mk-MK"/>
        </w:rPr>
        <w:t>како општа цел има</w:t>
      </w:r>
      <w:r w:rsidR="0000080F" w:rsidRPr="00316CD0">
        <w:rPr>
          <w:bCs/>
          <w:color w:val="000000"/>
          <w:szCs w:val="20"/>
          <w:lang w:val="mk-MK" w:eastAsia="mk-MK"/>
        </w:rPr>
        <w:t xml:space="preserve"> зајакн</w:t>
      </w:r>
      <w:r w:rsidRPr="00316CD0">
        <w:rPr>
          <w:bCs/>
          <w:color w:val="000000"/>
          <w:szCs w:val="20"/>
          <w:lang w:val="mk-MK" w:eastAsia="mk-MK"/>
        </w:rPr>
        <w:t>ување на</w:t>
      </w:r>
      <w:r w:rsidR="0000080F" w:rsidRPr="00316CD0">
        <w:rPr>
          <w:bCs/>
          <w:color w:val="000000"/>
          <w:szCs w:val="20"/>
          <w:lang w:val="mk-MK" w:eastAsia="mk-MK"/>
        </w:rPr>
        <w:t xml:space="preserve"> влијанието и вклученоста на граѓанското општество во процесите на донесување на одлуки и во клучните реформи за поддржување на п</w:t>
      </w:r>
      <w:r w:rsidR="00BF0CF5" w:rsidRPr="00316CD0">
        <w:rPr>
          <w:bCs/>
          <w:color w:val="000000"/>
          <w:szCs w:val="20"/>
          <w:lang w:val="mk-MK" w:eastAsia="mk-MK"/>
        </w:rPr>
        <w:t xml:space="preserve">роцесот на пристапување кон ЕУ. </w:t>
      </w:r>
      <w:r w:rsidR="0000080F" w:rsidRPr="00316CD0">
        <w:rPr>
          <w:bCs/>
          <w:color w:val="000000"/>
          <w:szCs w:val="20"/>
          <w:lang w:val="mk-MK" w:eastAsia="mk-MK"/>
        </w:rPr>
        <w:t>Специфичните цели на проектот се</w:t>
      </w:r>
      <w:r w:rsidR="00BF0CF5" w:rsidRPr="00316CD0">
        <w:rPr>
          <w:bCs/>
          <w:color w:val="000000"/>
          <w:szCs w:val="20"/>
          <w:lang w:val="mk-MK" w:eastAsia="mk-MK"/>
        </w:rPr>
        <w:t>:</w:t>
      </w:r>
    </w:p>
    <w:p w14:paraId="7A6B5591" w14:textId="77777777" w:rsidR="00BF0CF5" w:rsidRPr="00316CD0" w:rsidRDefault="0000080F" w:rsidP="0000080F">
      <w:pPr>
        <w:jc w:val="both"/>
        <w:rPr>
          <w:bCs/>
          <w:color w:val="000000"/>
          <w:szCs w:val="20"/>
          <w:lang w:val="mk-MK" w:eastAsia="mk-MK"/>
        </w:rPr>
      </w:pPr>
      <w:r w:rsidRPr="00316CD0">
        <w:rPr>
          <w:bCs/>
          <w:color w:val="000000"/>
          <w:szCs w:val="20"/>
          <w:lang w:val="mk-MK" w:eastAsia="mk-MK"/>
        </w:rPr>
        <w:t xml:space="preserve"> </w:t>
      </w:r>
    </w:p>
    <w:p w14:paraId="16E128C4" w14:textId="77777777" w:rsidR="00BF0CF5" w:rsidRPr="00316CD0" w:rsidRDefault="0000080F" w:rsidP="00BF0CF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подигнување на капацитетите, отчетноста и одржливоста на различните граѓански организации преку воспоставување на коалиција за климатски промени со национален опфат за подобрена вклученост во создавањето на јавното мислење, зголемено влијание и учество во развојот на </w:t>
      </w:r>
      <w:proofErr w:type="spellStart"/>
      <w:r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политките</w:t>
      </w:r>
      <w:proofErr w:type="spellEnd"/>
      <w:r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на локално и национално ниво. </w:t>
      </w:r>
    </w:p>
    <w:p w14:paraId="62A6CC93" w14:textId="16A6D5EA" w:rsidR="0000080F" w:rsidRDefault="00BF0CF5" w:rsidP="00BF0CF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подигнување на</w:t>
      </w:r>
      <w:r w:rsidR="0000080F"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</w:t>
      </w:r>
      <w:r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јавната свест кај </w:t>
      </w:r>
      <w:r w:rsidR="0000080F"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граѓани</w:t>
      </w:r>
      <w:r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те за важноста на справување</w:t>
      </w:r>
      <w:r w:rsidR="0000080F"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со климатските промени во сите сектори и на сите нивоа на донесување на одлуки како </w:t>
      </w:r>
      <w:r w:rsidR="003E3925"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значаен чекор </w:t>
      </w:r>
      <w:r w:rsidR="0000080F"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во спроведувањето на успешен процес на пристапување кон ЕУ.</w:t>
      </w:r>
    </w:p>
    <w:p w14:paraId="19693B71" w14:textId="1CE51EEF" w:rsidR="00600B8A" w:rsidRDefault="00600B8A" w:rsidP="00600B8A">
      <w:pPr>
        <w:jc w:val="both"/>
        <w:rPr>
          <w:bCs/>
          <w:color w:val="000000"/>
          <w:szCs w:val="20"/>
          <w:lang w:val="mk-MK" w:eastAsia="mk-MK"/>
        </w:rPr>
      </w:pPr>
    </w:p>
    <w:p w14:paraId="5F0E028C" w14:textId="4ADDBD13" w:rsidR="00762B77" w:rsidRPr="00762B77" w:rsidRDefault="00733BC5" w:rsidP="00733BC5">
      <w:pPr>
        <w:jc w:val="both"/>
        <w:rPr>
          <w:bCs/>
          <w:color w:val="000000"/>
          <w:szCs w:val="20"/>
          <w:lang w:val="mk-MK" w:eastAsia="mk-MK"/>
        </w:rPr>
      </w:pPr>
      <w:r w:rsidRPr="004C3991">
        <w:rPr>
          <w:b/>
          <w:bCs/>
          <w:color w:val="000000"/>
          <w:szCs w:val="20"/>
          <w:lang w:val="mk-MK" w:eastAsia="mk-MK"/>
        </w:rPr>
        <w:t xml:space="preserve">Во рамките на овој проект преку </w:t>
      </w:r>
      <w:r w:rsidR="00562F00">
        <w:rPr>
          <w:b/>
          <w:bCs/>
          <w:color w:val="000000"/>
          <w:szCs w:val="20"/>
          <w:lang w:val="mk-MK" w:eastAsia="mk-MK"/>
        </w:rPr>
        <w:t>активностите за подигнување на свеста</w:t>
      </w:r>
      <w:r w:rsidRPr="004C3991">
        <w:rPr>
          <w:b/>
          <w:bCs/>
          <w:color w:val="000000"/>
          <w:szCs w:val="20"/>
          <w:lang w:val="mk-MK" w:eastAsia="mk-MK"/>
        </w:rPr>
        <w:t xml:space="preserve"> </w:t>
      </w:r>
      <w:r w:rsidR="00207EE3">
        <w:rPr>
          <w:b/>
          <w:bCs/>
          <w:color w:val="000000"/>
          <w:szCs w:val="20"/>
          <w:lang w:val="mk-MK" w:eastAsia="mk-MK"/>
        </w:rPr>
        <w:t>на граѓаните за важноста на</w:t>
      </w:r>
      <w:r w:rsidR="00562F00">
        <w:rPr>
          <w:b/>
          <w:bCs/>
          <w:color w:val="000000"/>
          <w:szCs w:val="20"/>
          <w:lang w:val="mk-MK" w:eastAsia="mk-MK"/>
        </w:rPr>
        <w:t xml:space="preserve"> справување</w:t>
      </w:r>
      <w:r w:rsidR="00207EE3">
        <w:rPr>
          <w:b/>
          <w:bCs/>
          <w:color w:val="000000"/>
          <w:szCs w:val="20"/>
          <w:lang w:val="mk-MK" w:eastAsia="mk-MK"/>
        </w:rPr>
        <w:t>то</w:t>
      </w:r>
      <w:r w:rsidR="00562F00">
        <w:rPr>
          <w:b/>
          <w:bCs/>
          <w:color w:val="000000"/>
          <w:szCs w:val="20"/>
          <w:lang w:val="mk-MK" w:eastAsia="mk-MK"/>
        </w:rPr>
        <w:t xml:space="preserve"> со климатските промени, предвидена е спроведување на Кампања за одржливо живеење</w:t>
      </w:r>
      <w:r w:rsidRPr="004C3991">
        <w:rPr>
          <w:b/>
          <w:bCs/>
          <w:color w:val="000000"/>
          <w:szCs w:val="20"/>
          <w:lang w:val="mk-MK" w:eastAsia="mk-MK"/>
        </w:rPr>
        <w:t>.</w:t>
      </w:r>
      <w:r w:rsidRPr="00316CD0">
        <w:rPr>
          <w:bCs/>
          <w:color w:val="000000"/>
          <w:szCs w:val="20"/>
          <w:lang w:val="mk-MK" w:eastAsia="mk-MK"/>
        </w:rPr>
        <w:t xml:space="preserve"> </w:t>
      </w:r>
      <w:r w:rsidR="00762B77">
        <w:rPr>
          <w:bCs/>
          <w:color w:val="000000"/>
          <w:szCs w:val="20"/>
          <w:lang w:val="mk-MK" w:eastAsia="mk-MK"/>
        </w:rPr>
        <w:t xml:space="preserve">Кампањата се очекува да биде спроведена од страна на </w:t>
      </w:r>
      <w:r w:rsidR="00A87CD3">
        <w:rPr>
          <w:bCs/>
          <w:color w:val="000000"/>
          <w:szCs w:val="20"/>
          <w:lang w:val="mk-MK" w:eastAsia="mk-MK"/>
        </w:rPr>
        <w:t>граѓанска</w:t>
      </w:r>
      <w:r w:rsidR="00762B77">
        <w:rPr>
          <w:bCs/>
          <w:color w:val="000000"/>
          <w:szCs w:val="20"/>
          <w:lang w:val="mk-MK" w:eastAsia="mk-MK"/>
        </w:rPr>
        <w:t xml:space="preserve"> организација или приватна компанија која се занимава со изготвување и спроведување на кампањи, работа на социјални медиуми, дизајн и маркетинг, организација на настани и сл. На повикот можат да се јават сите </w:t>
      </w:r>
      <w:r w:rsidR="00762B77" w:rsidRPr="00762B77">
        <w:rPr>
          <w:bCs/>
          <w:color w:val="000000"/>
          <w:szCs w:val="20"/>
          <w:lang w:val="mk-MK" w:eastAsia="mk-MK"/>
        </w:rPr>
        <w:t xml:space="preserve">заинтересирани организации и компании кои сакаат да ги организираат активностите </w:t>
      </w:r>
      <w:r w:rsidR="00762B77">
        <w:rPr>
          <w:bCs/>
          <w:color w:val="000000"/>
          <w:szCs w:val="20"/>
          <w:lang w:val="mk-MK" w:eastAsia="mk-MK"/>
        </w:rPr>
        <w:t>предвидени во овој Повик.</w:t>
      </w:r>
    </w:p>
    <w:p w14:paraId="7234CD9C" w14:textId="77777777" w:rsidR="00733BC5" w:rsidRPr="00316CD0" w:rsidRDefault="00733BC5" w:rsidP="00733BC5">
      <w:pPr>
        <w:jc w:val="both"/>
        <w:rPr>
          <w:bCs/>
          <w:color w:val="000000"/>
          <w:szCs w:val="20"/>
          <w:lang w:val="mk-MK" w:eastAsia="mk-MK"/>
        </w:rPr>
      </w:pPr>
    </w:p>
    <w:p w14:paraId="1CC2332A" w14:textId="56231C26" w:rsidR="00733BC5" w:rsidRPr="00316CD0" w:rsidRDefault="0070446C" w:rsidP="006B7D84">
      <w:pPr>
        <w:jc w:val="both"/>
        <w:rPr>
          <w:bCs/>
          <w:color w:val="000000"/>
          <w:szCs w:val="20"/>
          <w:lang w:val="mk-MK" w:eastAsia="mk-MK"/>
        </w:rPr>
      </w:pPr>
      <w:r w:rsidRPr="00316CD0">
        <w:rPr>
          <w:szCs w:val="20"/>
          <w:lang w:val="mk-MK"/>
        </w:rPr>
        <w:t>Цел на повикот</w:t>
      </w:r>
      <w:r w:rsidR="006B7D84">
        <w:rPr>
          <w:szCs w:val="20"/>
          <w:lang w:val="mk-MK"/>
        </w:rPr>
        <w:t xml:space="preserve"> </w:t>
      </w:r>
      <w:r w:rsidRPr="00316CD0">
        <w:rPr>
          <w:szCs w:val="20"/>
          <w:lang w:val="mk-MK"/>
        </w:rPr>
        <w:t>е</w:t>
      </w:r>
      <w:r w:rsidR="006B7D84">
        <w:rPr>
          <w:szCs w:val="20"/>
          <w:lang w:val="mk-MK"/>
        </w:rPr>
        <w:t xml:space="preserve"> п</w:t>
      </w:r>
      <w:r w:rsidRPr="00316CD0">
        <w:rPr>
          <w:bCs/>
          <w:color w:val="000000"/>
          <w:szCs w:val="20"/>
          <w:lang w:val="mk-MK" w:eastAsia="mk-MK"/>
        </w:rPr>
        <w:t>ридонес</w:t>
      </w:r>
      <w:r w:rsidR="006B7D84">
        <w:rPr>
          <w:bCs/>
          <w:color w:val="000000"/>
          <w:szCs w:val="20"/>
          <w:lang w:val="mk-MK" w:eastAsia="mk-MK"/>
        </w:rPr>
        <w:t>ување</w:t>
      </w:r>
      <w:r w:rsidRPr="00316CD0">
        <w:rPr>
          <w:bCs/>
          <w:color w:val="000000"/>
          <w:szCs w:val="20"/>
          <w:lang w:val="mk-MK" w:eastAsia="mk-MK"/>
        </w:rPr>
        <w:t xml:space="preserve"> кон </w:t>
      </w:r>
      <w:r w:rsidRPr="00316CD0">
        <w:rPr>
          <w:b/>
          <w:bCs/>
          <w:color w:val="000000"/>
          <w:szCs w:val="20"/>
          <w:u w:val="single"/>
          <w:lang w:val="mk-MK" w:eastAsia="mk-MK"/>
        </w:rPr>
        <w:t>подигнување на свесноста на македонските граѓани за важноста на справувањето со климатските промени во сите сектори</w:t>
      </w:r>
      <w:r w:rsidRPr="00316CD0">
        <w:rPr>
          <w:bCs/>
          <w:color w:val="000000"/>
          <w:szCs w:val="20"/>
          <w:u w:val="single"/>
          <w:lang w:val="mk-MK" w:eastAsia="mk-MK"/>
        </w:rPr>
        <w:t xml:space="preserve"> </w:t>
      </w:r>
      <w:r w:rsidRPr="00316CD0">
        <w:rPr>
          <w:b/>
          <w:bCs/>
          <w:color w:val="000000"/>
          <w:szCs w:val="20"/>
          <w:u w:val="single"/>
          <w:lang w:val="mk-MK" w:eastAsia="mk-MK"/>
        </w:rPr>
        <w:t>и на сите нивоа на донесување на одлуки</w:t>
      </w:r>
      <w:r w:rsidR="003E3925" w:rsidRPr="00316CD0">
        <w:rPr>
          <w:bCs/>
          <w:color w:val="000000"/>
          <w:szCs w:val="20"/>
          <w:lang w:val="mk-MK" w:eastAsia="mk-MK"/>
        </w:rPr>
        <w:t xml:space="preserve"> како значаен чекор</w:t>
      </w:r>
      <w:r w:rsidRPr="00316CD0">
        <w:rPr>
          <w:bCs/>
          <w:color w:val="000000"/>
          <w:szCs w:val="20"/>
          <w:lang w:val="mk-MK" w:eastAsia="mk-MK"/>
        </w:rPr>
        <w:t xml:space="preserve"> во спроведувањето на успеше</w:t>
      </w:r>
      <w:r w:rsidR="006B7D84">
        <w:rPr>
          <w:bCs/>
          <w:color w:val="000000"/>
          <w:szCs w:val="20"/>
          <w:lang w:val="mk-MK" w:eastAsia="mk-MK"/>
        </w:rPr>
        <w:t xml:space="preserve">н процес на пристапување кон ЕУ и </w:t>
      </w:r>
      <w:r w:rsidR="006B7D84" w:rsidRPr="006B7D84">
        <w:rPr>
          <w:bCs/>
          <w:color w:val="000000"/>
          <w:szCs w:val="20"/>
          <w:lang w:val="mk-MK" w:eastAsia="mk-MK"/>
        </w:rPr>
        <w:t>да се опфатат со активностите групите на граѓани кои во дадената заедница се најзасегнати од климатските промени или најмногу придонесуваат кон нив.</w:t>
      </w:r>
    </w:p>
    <w:p w14:paraId="3BD3B45B" w14:textId="77777777" w:rsidR="008A7027" w:rsidRPr="00316CD0" w:rsidRDefault="008A7027" w:rsidP="0000080F">
      <w:pPr>
        <w:jc w:val="both"/>
        <w:rPr>
          <w:bCs/>
          <w:color w:val="000000"/>
          <w:szCs w:val="20"/>
          <w:lang w:val="mk-MK" w:eastAsia="mk-MK"/>
        </w:rPr>
      </w:pPr>
    </w:p>
    <w:p w14:paraId="1BE53BDA" w14:textId="206F7F4E" w:rsidR="00CB34C4" w:rsidRPr="00316CD0" w:rsidRDefault="003E3925" w:rsidP="006B7D84">
      <w:pPr>
        <w:jc w:val="both"/>
        <w:rPr>
          <w:color w:val="000000"/>
          <w:szCs w:val="20"/>
          <w:lang w:val="mk-MK" w:eastAsia="mk-MK"/>
        </w:rPr>
      </w:pPr>
      <w:r w:rsidRPr="00316CD0">
        <w:rPr>
          <w:bCs/>
          <w:color w:val="000000"/>
          <w:szCs w:val="20"/>
          <w:lang w:val="mk-MK" w:eastAsia="mk-MK"/>
        </w:rPr>
        <w:t>Очекуван резултат</w:t>
      </w:r>
      <w:r w:rsidR="006B7D84">
        <w:rPr>
          <w:bCs/>
          <w:color w:val="000000"/>
          <w:szCs w:val="20"/>
          <w:lang w:val="mk-MK" w:eastAsia="mk-MK"/>
        </w:rPr>
        <w:t xml:space="preserve"> од овој повик е д</w:t>
      </w:r>
      <w:r w:rsidRPr="00316CD0">
        <w:rPr>
          <w:color w:val="000000"/>
          <w:szCs w:val="20"/>
          <w:lang w:val="mk-MK" w:eastAsia="mk-MK"/>
        </w:rPr>
        <w:t>а</w:t>
      </w:r>
      <w:r w:rsidR="000F4A9B" w:rsidRPr="00316CD0">
        <w:rPr>
          <w:color w:val="000000"/>
          <w:szCs w:val="20"/>
          <w:lang w:val="mk-MK" w:eastAsia="mk-MK"/>
        </w:rPr>
        <w:t xml:space="preserve"> придонесе кон свесноста на граѓаните на Македонија, деловниот сектор, надлежните институции, како и на другите недржавни актери</w:t>
      </w:r>
      <w:r w:rsidR="00E561D6" w:rsidRPr="00316CD0">
        <w:rPr>
          <w:color w:val="000000"/>
          <w:szCs w:val="20"/>
          <w:lang w:val="mk-MK" w:eastAsia="mk-MK"/>
        </w:rPr>
        <w:t xml:space="preserve"> за климатските промени како хоризонтално прашање, овозможувајќи им подобро да ги разберат и да заземат позитивен пристап кон ублажувањето на климатските промени. Индикатор за овој резултат ќе биде бројот на </w:t>
      </w:r>
      <w:r w:rsidR="00513168" w:rsidRPr="00316CD0">
        <w:rPr>
          <w:color w:val="000000"/>
          <w:szCs w:val="20"/>
          <w:lang w:val="mk-MK" w:eastAsia="mk-MK"/>
        </w:rPr>
        <w:t>учесници од</w:t>
      </w:r>
      <w:r w:rsidR="00E561D6" w:rsidRPr="00316CD0">
        <w:rPr>
          <w:color w:val="000000"/>
          <w:szCs w:val="20"/>
          <w:lang w:val="mk-MK" w:eastAsia="mk-MK"/>
        </w:rPr>
        <w:t xml:space="preserve"> горенаведените категории во активностите во </w:t>
      </w:r>
      <w:proofErr w:type="spellStart"/>
      <w:r w:rsidR="00E561D6" w:rsidRPr="00316CD0">
        <w:rPr>
          <w:color w:val="000000"/>
          <w:szCs w:val="20"/>
          <w:lang w:val="mk-MK" w:eastAsia="mk-MK"/>
        </w:rPr>
        <w:t>подгрантовите</w:t>
      </w:r>
      <w:proofErr w:type="spellEnd"/>
      <w:r w:rsidR="00E561D6" w:rsidRPr="00316CD0">
        <w:rPr>
          <w:color w:val="000000"/>
          <w:szCs w:val="20"/>
          <w:lang w:val="mk-MK" w:eastAsia="mk-MK"/>
        </w:rPr>
        <w:t>.</w:t>
      </w:r>
    </w:p>
    <w:p w14:paraId="4435D384" w14:textId="4CE51EEB" w:rsidR="00E561D6" w:rsidRDefault="00E561D6" w:rsidP="00BA3466">
      <w:pPr>
        <w:jc w:val="both"/>
        <w:rPr>
          <w:color w:val="000000"/>
          <w:szCs w:val="20"/>
          <w:lang w:val="mk-MK" w:eastAsia="mk-MK"/>
        </w:rPr>
      </w:pPr>
    </w:p>
    <w:p w14:paraId="0CDFFE68" w14:textId="154B874D" w:rsidR="006B7D84" w:rsidRPr="00416701" w:rsidRDefault="00416701" w:rsidP="00BA3466">
      <w:pPr>
        <w:jc w:val="both"/>
        <w:rPr>
          <w:color w:val="000000"/>
          <w:szCs w:val="20"/>
          <w:lang w:val="en-US" w:eastAsia="mk-MK"/>
        </w:rPr>
      </w:pPr>
      <w:r>
        <w:rPr>
          <w:color w:val="000000"/>
          <w:szCs w:val="20"/>
          <w:lang w:val="mk-MK" w:eastAsia="mk-MK"/>
        </w:rPr>
        <w:t>Со цел мерливост на успешноста на кампањата, о</w:t>
      </w:r>
      <w:r w:rsidR="006B7D84">
        <w:rPr>
          <w:color w:val="000000"/>
          <w:szCs w:val="20"/>
          <w:lang w:val="mk-MK" w:eastAsia="mk-MK"/>
        </w:rPr>
        <w:t xml:space="preserve">рганизацијата/ </w:t>
      </w:r>
      <w:r>
        <w:rPr>
          <w:color w:val="000000"/>
          <w:szCs w:val="20"/>
          <w:lang w:val="mk-MK" w:eastAsia="mk-MK"/>
        </w:rPr>
        <w:t>к</w:t>
      </w:r>
      <w:r w:rsidR="006B7D84">
        <w:rPr>
          <w:color w:val="000000"/>
          <w:szCs w:val="20"/>
          <w:lang w:val="mk-MK" w:eastAsia="mk-MK"/>
        </w:rPr>
        <w:t xml:space="preserve">омпанијата која ќе биде одбрана за изработка на Кампањата за одржливо живеење е потребно за своите активности да </w:t>
      </w:r>
      <w:r>
        <w:rPr>
          <w:color w:val="000000"/>
          <w:szCs w:val="20"/>
          <w:lang w:val="mk-MK" w:eastAsia="mk-MK"/>
        </w:rPr>
        <w:t xml:space="preserve">водат </w:t>
      </w:r>
      <w:r>
        <w:rPr>
          <w:color w:val="000000"/>
          <w:szCs w:val="20"/>
          <w:lang w:val="en-US" w:eastAsia="mk-MK"/>
        </w:rPr>
        <w:t>“Press Clipping”</w:t>
      </w:r>
      <w:r>
        <w:rPr>
          <w:color w:val="000000"/>
          <w:szCs w:val="20"/>
          <w:lang w:val="mk-MK" w:eastAsia="mk-MK"/>
        </w:rPr>
        <w:t xml:space="preserve"> и извештај за опсег (</w:t>
      </w:r>
      <w:r>
        <w:rPr>
          <w:color w:val="000000"/>
          <w:szCs w:val="20"/>
          <w:lang w:val="en-US" w:eastAsia="mk-MK"/>
        </w:rPr>
        <w:t>Reach Report).</w:t>
      </w:r>
    </w:p>
    <w:p w14:paraId="05B34865" w14:textId="24D8CB9C" w:rsidR="00BA3466" w:rsidRPr="00316CD0" w:rsidRDefault="00BA3466" w:rsidP="00BA3466">
      <w:pPr>
        <w:rPr>
          <w:szCs w:val="20"/>
          <w:lang w:val="mk-MK" w:eastAsia="mk-MK"/>
        </w:rPr>
      </w:pPr>
    </w:p>
    <w:p w14:paraId="4940DCCB" w14:textId="605B8305" w:rsidR="0019316C" w:rsidRPr="00316CD0" w:rsidRDefault="0019316C">
      <w:pPr>
        <w:rPr>
          <w:szCs w:val="20"/>
          <w:lang w:val="mk-MK"/>
        </w:rPr>
      </w:pPr>
      <w:r w:rsidRPr="00316CD0">
        <w:rPr>
          <w:szCs w:val="20"/>
          <w:lang w:val="mk-MK"/>
        </w:rPr>
        <w:br w:type="page"/>
      </w:r>
    </w:p>
    <w:p w14:paraId="00AC5544" w14:textId="60F74AC2" w:rsidR="00273D40" w:rsidRPr="00551CD5" w:rsidRDefault="00273D40" w:rsidP="007F7B1E">
      <w:pPr>
        <w:pStyle w:val="Heading1"/>
        <w:rPr>
          <w:lang w:eastAsia="mk-MK"/>
        </w:rPr>
      </w:pPr>
      <w:bookmarkStart w:id="2" w:name="_Toc28013333"/>
      <w:r w:rsidRPr="00551CD5">
        <w:rPr>
          <w:lang w:eastAsia="mk-MK"/>
        </w:rPr>
        <w:t>Опис на повикот</w:t>
      </w:r>
      <w:r w:rsidR="00712ECA">
        <w:rPr>
          <w:lang w:eastAsia="mk-MK"/>
        </w:rPr>
        <w:t xml:space="preserve"> и активности</w:t>
      </w:r>
      <w:bookmarkEnd w:id="2"/>
    </w:p>
    <w:p w14:paraId="04C80D56" w14:textId="41C50234" w:rsidR="00273D40" w:rsidRDefault="00416701" w:rsidP="00273D40">
      <w:pPr>
        <w:jc w:val="both"/>
        <w:rPr>
          <w:bCs/>
          <w:color w:val="000000"/>
          <w:szCs w:val="20"/>
          <w:lang w:val="en-US" w:eastAsia="mk-MK"/>
        </w:rPr>
      </w:pPr>
      <w:r>
        <w:rPr>
          <w:bCs/>
          <w:color w:val="000000"/>
          <w:szCs w:val="20"/>
          <w:lang w:val="mk-MK" w:eastAsia="mk-MK"/>
        </w:rPr>
        <w:t xml:space="preserve">Преку овој повик Проектот </w:t>
      </w:r>
      <w:r w:rsidRPr="00416701">
        <w:rPr>
          <w:bCs/>
          <w:color w:val="000000"/>
          <w:szCs w:val="20"/>
          <w:lang w:val="mk-MK" w:eastAsia="mk-MK"/>
        </w:rPr>
        <w:t>„Да зборуваме за климатските промени“</w:t>
      </w:r>
      <w:r>
        <w:rPr>
          <w:bCs/>
          <w:color w:val="000000"/>
          <w:szCs w:val="20"/>
          <w:lang w:val="mk-MK" w:eastAsia="mk-MK"/>
        </w:rPr>
        <w:t xml:space="preserve"> сака да ангажира организација/ компанија која </w:t>
      </w:r>
      <w:r w:rsidRPr="00316CD0">
        <w:rPr>
          <w:bCs/>
          <w:color w:val="000000"/>
          <w:szCs w:val="20"/>
          <w:lang w:val="mk-MK" w:eastAsia="mk-MK"/>
        </w:rPr>
        <w:t>употребувајќи</w:t>
      </w:r>
      <w:r>
        <w:rPr>
          <w:bCs/>
          <w:color w:val="000000"/>
          <w:szCs w:val="20"/>
          <w:lang w:val="mk-MK" w:eastAsia="mk-MK"/>
        </w:rPr>
        <w:t xml:space="preserve"> соодветни  комуникациски стратегии би изработила јавна кампања за одржливо живеење, </w:t>
      </w:r>
      <w:r w:rsidR="00273D40" w:rsidRPr="00316CD0">
        <w:rPr>
          <w:bCs/>
          <w:color w:val="000000"/>
          <w:szCs w:val="20"/>
          <w:lang w:val="mk-MK" w:eastAsia="mk-MK"/>
        </w:rPr>
        <w:t xml:space="preserve">со </w:t>
      </w:r>
      <w:r>
        <w:rPr>
          <w:bCs/>
          <w:color w:val="000000"/>
          <w:szCs w:val="20"/>
          <w:lang w:val="mk-MK" w:eastAsia="mk-MK"/>
        </w:rPr>
        <w:t>цел да се придонесе</w:t>
      </w:r>
      <w:r w:rsidR="00273D40" w:rsidRPr="00316CD0">
        <w:rPr>
          <w:bCs/>
          <w:color w:val="000000"/>
          <w:szCs w:val="20"/>
          <w:lang w:val="mk-MK" w:eastAsia="mk-MK"/>
        </w:rPr>
        <w:t xml:space="preserve"> кон едуцирањето и подигну</w:t>
      </w:r>
      <w:r w:rsidR="0098717E" w:rsidRPr="00316CD0">
        <w:rPr>
          <w:bCs/>
          <w:color w:val="000000"/>
          <w:szCs w:val="20"/>
          <w:lang w:val="mk-MK" w:eastAsia="mk-MK"/>
        </w:rPr>
        <w:t>вањето на свеста на населението за она што значат климатските промени, нивните последици, меѓутоа и како секој од нас влијае врз климатските промени</w:t>
      </w:r>
      <w:r w:rsidR="001B25F8">
        <w:rPr>
          <w:bCs/>
          <w:color w:val="000000"/>
          <w:szCs w:val="20"/>
          <w:lang w:val="mk-MK" w:eastAsia="mk-MK"/>
        </w:rPr>
        <w:t xml:space="preserve"> и</w:t>
      </w:r>
      <w:r w:rsidR="0098717E" w:rsidRPr="00316CD0">
        <w:rPr>
          <w:bCs/>
          <w:color w:val="000000"/>
          <w:szCs w:val="20"/>
          <w:lang w:val="mk-MK" w:eastAsia="mk-MK"/>
        </w:rPr>
        <w:t xml:space="preserve"> што може секој од нас да направи за да ги ублажи нивните последици</w:t>
      </w:r>
      <w:r w:rsidR="0098717E" w:rsidRPr="00316CD0">
        <w:rPr>
          <w:bCs/>
          <w:color w:val="000000"/>
          <w:szCs w:val="20"/>
          <w:lang w:val="en-US" w:eastAsia="mk-MK"/>
        </w:rPr>
        <w:t xml:space="preserve">. </w:t>
      </w:r>
    </w:p>
    <w:p w14:paraId="3DF24B07" w14:textId="3B05276F" w:rsidR="00416701" w:rsidRDefault="00416701" w:rsidP="00273D40">
      <w:pPr>
        <w:jc w:val="both"/>
        <w:rPr>
          <w:bCs/>
          <w:color w:val="000000"/>
          <w:szCs w:val="20"/>
          <w:lang w:val="en-US" w:eastAsia="mk-MK"/>
        </w:rPr>
      </w:pPr>
    </w:p>
    <w:p w14:paraId="4FC6A511" w14:textId="4B17E892" w:rsidR="00416701" w:rsidRDefault="00416701" w:rsidP="00273D40">
      <w:pPr>
        <w:jc w:val="both"/>
        <w:rPr>
          <w:rFonts w:eastAsia="Times New Roman"/>
          <w:bCs/>
          <w:iCs/>
          <w:szCs w:val="20"/>
          <w:bdr w:val="none" w:sz="0" w:space="0" w:color="auto" w:frame="1"/>
          <w:lang w:val="mk-MK" w:eastAsia="mk-MK"/>
        </w:rPr>
      </w:pPr>
      <w:r>
        <w:rPr>
          <w:bCs/>
          <w:color w:val="000000"/>
          <w:szCs w:val="20"/>
          <w:lang w:val="mk-MK" w:eastAsia="mk-MK"/>
        </w:rPr>
        <w:t xml:space="preserve">Идејата за ваков тип на акција произлезе од досегашната практика на Еко-свест, изминативе две години да го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организира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Предизвикот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за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одржливо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живеење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со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цел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да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ја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подигне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свесноста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нашите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граѓани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за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секојдневните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одржливи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избори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кои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можат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да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ги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направат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и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да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придонесат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кон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заштита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нашата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средина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,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намалување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емисиите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стакленички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гасови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и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зачувување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своето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здравје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.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Овој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Предизвик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ќе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биде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третиот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кој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организира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со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ваква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цел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,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во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проширен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формат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кој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ќе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опфати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и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јавни</w:t>
      </w:r>
      <w:proofErr w:type="spellEnd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настани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val="mk-MK" w:eastAsia="mk-MK"/>
        </w:rPr>
        <w:t>м, а п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овеќе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информации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за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досегашните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Предизвици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може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да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се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најдат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социјалните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мрежи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на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 xml:space="preserve"> </w:t>
      </w:r>
      <w:proofErr w:type="spellStart"/>
      <w:r w:rsidR="00712ECA">
        <w:rPr>
          <w:rFonts w:eastAsia="Times New Roman"/>
          <w:bCs/>
          <w:iCs/>
          <w:szCs w:val="20"/>
          <w:bdr w:val="none" w:sz="0" w:space="0" w:color="auto" w:frame="1"/>
          <w:lang w:eastAsia="mk-MK"/>
        </w:rPr>
        <w:t>Еко-свест</w:t>
      </w:r>
      <w:proofErr w:type="spellEnd"/>
      <w:r w:rsidR="00712ECA">
        <w:rPr>
          <w:rFonts w:eastAsia="Times New Roman"/>
          <w:bCs/>
          <w:iCs/>
          <w:szCs w:val="20"/>
          <w:bdr w:val="none" w:sz="0" w:space="0" w:color="auto" w:frame="1"/>
          <w:lang w:val="mk-MK" w:eastAsia="mk-MK"/>
        </w:rPr>
        <w:t>.</w:t>
      </w:r>
    </w:p>
    <w:p w14:paraId="6F41FA55" w14:textId="5E7C4667" w:rsidR="00712ECA" w:rsidRDefault="00712ECA" w:rsidP="00273D40">
      <w:pPr>
        <w:jc w:val="both"/>
        <w:rPr>
          <w:rFonts w:eastAsia="Times New Roman"/>
          <w:bCs/>
          <w:iCs/>
          <w:szCs w:val="20"/>
          <w:bdr w:val="none" w:sz="0" w:space="0" w:color="auto" w:frame="1"/>
          <w:lang w:val="mk-MK" w:eastAsia="mk-MK"/>
        </w:rPr>
      </w:pPr>
    </w:p>
    <w:p w14:paraId="60A5BB4D" w14:textId="4D3374A7" w:rsidR="00712ECA" w:rsidRPr="00712ECA" w:rsidRDefault="00712ECA" w:rsidP="00273D40">
      <w:pPr>
        <w:jc w:val="both"/>
        <w:rPr>
          <w:rFonts w:eastAsia="Times New Roman"/>
          <w:bCs/>
          <w:iCs/>
          <w:szCs w:val="20"/>
          <w:bdr w:val="none" w:sz="0" w:space="0" w:color="auto" w:frame="1"/>
          <w:lang w:val="en-US" w:eastAsia="mk-MK"/>
        </w:rPr>
      </w:pPr>
      <w:r>
        <w:rPr>
          <w:rFonts w:eastAsia="Times New Roman"/>
          <w:bCs/>
          <w:iCs/>
          <w:szCs w:val="20"/>
          <w:bdr w:val="none" w:sz="0" w:space="0" w:color="auto" w:frame="1"/>
          <w:lang w:val="mk-MK" w:eastAsia="mk-MK"/>
        </w:rPr>
        <w:t xml:space="preserve">Со цел подобрување на квалитетот на организацијата на овој Предизвик, а со желба да се добијат подобри резултати и поголем опсег на видливост, Еко-свест преку проектот </w:t>
      </w:r>
      <w:r>
        <w:rPr>
          <w:rFonts w:eastAsia="Times New Roman"/>
          <w:bCs/>
          <w:iCs/>
          <w:szCs w:val="20"/>
          <w:bdr w:val="none" w:sz="0" w:space="0" w:color="auto" w:frame="1"/>
          <w:lang w:val="en-US" w:eastAsia="mk-MK"/>
        </w:rPr>
        <w:t>“</w:t>
      </w:r>
      <w:r>
        <w:rPr>
          <w:rFonts w:eastAsia="Times New Roman"/>
          <w:bCs/>
          <w:iCs/>
          <w:szCs w:val="20"/>
          <w:bdr w:val="none" w:sz="0" w:space="0" w:color="auto" w:frame="1"/>
          <w:lang w:val="mk-MK" w:eastAsia="mk-MK"/>
        </w:rPr>
        <w:t>Да зборуваме за климатските промени</w:t>
      </w:r>
      <w:r>
        <w:rPr>
          <w:rFonts w:eastAsia="Times New Roman"/>
          <w:bCs/>
          <w:iCs/>
          <w:szCs w:val="20"/>
          <w:bdr w:val="none" w:sz="0" w:space="0" w:color="auto" w:frame="1"/>
          <w:lang w:val="en-US" w:eastAsia="mk-MK"/>
        </w:rPr>
        <w:t>”</w:t>
      </w:r>
      <w:r>
        <w:rPr>
          <w:rFonts w:eastAsia="Times New Roman"/>
          <w:bCs/>
          <w:iCs/>
          <w:szCs w:val="20"/>
          <w:bdr w:val="none" w:sz="0" w:space="0" w:color="auto" w:frame="1"/>
          <w:lang w:val="mk-MK" w:eastAsia="mk-MK"/>
        </w:rPr>
        <w:t xml:space="preserve"> предвиде поширок спектар на активности од областа на одржливо живеење. Согласно активностите во проектот, во рамки на овој Повик </w:t>
      </w:r>
      <w:r w:rsidR="0040254E">
        <w:rPr>
          <w:rFonts w:eastAsia="Times New Roman"/>
          <w:bCs/>
          <w:iCs/>
          <w:szCs w:val="20"/>
          <w:bdr w:val="none" w:sz="0" w:space="0" w:color="auto" w:frame="1"/>
          <w:lang w:val="mk-MK" w:eastAsia="mk-MK"/>
        </w:rPr>
        <w:t>изведувачот</w:t>
      </w:r>
      <w:r>
        <w:rPr>
          <w:rFonts w:eastAsia="Times New Roman"/>
          <w:bCs/>
          <w:iCs/>
          <w:szCs w:val="20"/>
          <w:bdr w:val="none" w:sz="0" w:space="0" w:color="auto" w:frame="1"/>
          <w:lang w:val="mk-MK" w:eastAsia="mk-MK"/>
        </w:rPr>
        <w:t xml:space="preserve"> е потребно да ги спроведе следниве активности</w:t>
      </w:r>
      <w:r>
        <w:rPr>
          <w:rFonts w:eastAsia="Times New Roman"/>
          <w:bCs/>
          <w:iCs/>
          <w:szCs w:val="20"/>
          <w:bdr w:val="none" w:sz="0" w:space="0" w:color="auto" w:frame="1"/>
          <w:lang w:val="en-US" w:eastAsia="mk-MK"/>
        </w:rPr>
        <w:t>:</w:t>
      </w:r>
    </w:p>
    <w:p w14:paraId="0F265A52" w14:textId="77777777" w:rsidR="00712ECA" w:rsidRPr="00712ECA" w:rsidRDefault="00712ECA" w:rsidP="00273D40">
      <w:pPr>
        <w:jc w:val="both"/>
        <w:rPr>
          <w:bCs/>
          <w:color w:val="000000"/>
          <w:szCs w:val="20"/>
          <w:lang w:val="mk-MK" w:eastAsia="mk-MK"/>
        </w:rPr>
      </w:pPr>
    </w:p>
    <w:p w14:paraId="3CA42C18" w14:textId="7C21449E" w:rsidR="00712ECA" w:rsidRDefault="00712ECA" w:rsidP="00712EC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Изготвување и с</w:t>
      </w:r>
      <w:proofErr w:type="spellStart"/>
      <w:r>
        <w:rPr>
          <w:rFonts w:ascii="Arial" w:hAnsi="Arial" w:cs="Arial"/>
          <w:sz w:val="20"/>
          <w:szCs w:val="20"/>
        </w:rPr>
        <w:t>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кампања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визуелизација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пораки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креирање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стрип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електронски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формат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Кампањата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наменета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социјалните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медиуми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младата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популација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национално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ниво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рамки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кампањата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потребно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најмалку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интерактивни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различни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училишта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рамки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кампањата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очекува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акција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граѓански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еко-активизам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социјални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медиуми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петиции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локални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акции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718879E4" w14:textId="77777777" w:rsidR="00712ECA" w:rsidRDefault="00712ECA" w:rsidP="00712EC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кампања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вклучување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дво-неделниот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Предизвик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одржливо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живеење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вклучување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најмалку</w:t>
      </w:r>
      <w:proofErr w:type="spellEnd"/>
      <w:r>
        <w:rPr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</w:rPr>
        <w:t>јавни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личности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Предизвикот. </w:t>
      </w:r>
      <w:proofErr w:type="spellStart"/>
      <w:r>
        <w:rPr>
          <w:rFonts w:ascii="Arial" w:hAnsi="Arial" w:cs="Arial"/>
          <w:sz w:val="20"/>
          <w:szCs w:val="20"/>
        </w:rPr>
        <w:t>Нивното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вклучување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подразбира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препораките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советите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Еко-свест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недели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користење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социјалните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канали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споделување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информации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превземените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активности</w:t>
      </w:r>
      <w:proofErr w:type="spellEnd"/>
      <w:r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14:paraId="013C718F" w14:textId="77777777" w:rsidR="00712ECA" w:rsidRDefault="00712ECA" w:rsidP="00712EC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Подготовка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дизајн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sz w:val="20"/>
          <w:szCs w:val="20"/>
        </w:rPr>
        <w:t>инфографикони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електронска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форма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факти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аргументи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емисиите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загадувачките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капацитети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информациите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бидат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наша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Инфографиконите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треба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едуцираат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информираат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повикуваат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петиции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граѓански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локални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акции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само-организирање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заедниците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06DD3074" w14:textId="77777777" w:rsidR="00712ECA" w:rsidRDefault="00712ECA" w:rsidP="00712EC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Печатење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инфорграфиконите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5008B">
        <w:rPr>
          <w:rFonts w:ascii="Arial" w:hAnsi="Arial" w:cs="Arial"/>
          <w:sz w:val="20"/>
          <w:szCs w:val="20"/>
        </w:rPr>
        <w:t xml:space="preserve">А5 и А4 </w:t>
      </w:r>
      <w:proofErr w:type="spellStart"/>
      <w:r w:rsidRPr="0045008B">
        <w:rPr>
          <w:rFonts w:ascii="Arial" w:hAnsi="Arial" w:cs="Arial"/>
          <w:sz w:val="20"/>
          <w:szCs w:val="20"/>
        </w:rPr>
        <w:t>формат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во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најмногу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500 </w:t>
      </w:r>
      <w:proofErr w:type="spellStart"/>
      <w:r w:rsidRPr="0045008B">
        <w:rPr>
          <w:rFonts w:ascii="Arial" w:hAnsi="Arial" w:cs="Arial"/>
          <w:sz w:val="20"/>
          <w:szCs w:val="20"/>
        </w:rPr>
        <w:t>копии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6E9879C7" w14:textId="77777777" w:rsidR="00712ECA" w:rsidRDefault="00712ECA" w:rsidP="00712EC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Репринт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постојна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сликовница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деца</w:t>
      </w:r>
      <w:proofErr w:type="spellEnd"/>
      <w:r>
        <w:rPr>
          <w:rFonts w:ascii="Arial" w:hAnsi="Arial" w:cs="Arial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sz w:val="20"/>
          <w:szCs w:val="20"/>
        </w:rPr>
        <w:t>Јагленко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” – </w:t>
      </w:r>
      <w:r>
        <w:rPr>
          <w:rFonts w:ascii="Arial" w:hAnsi="Arial" w:cs="Arial"/>
          <w:sz w:val="20"/>
          <w:szCs w:val="20"/>
        </w:rPr>
        <w:t xml:space="preserve">16 </w:t>
      </w:r>
      <w:proofErr w:type="spellStart"/>
      <w:r>
        <w:rPr>
          <w:rFonts w:ascii="Arial" w:hAnsi="Arial" w:cs="Arial"/>
          <w:sz w:val="20"/>
          <w:szCs w:val="20"/>
        </w:rPr>
        <w:t>страни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колор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двостран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принт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последна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тврд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повез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најмногу</w:t>
      </w:r>
      <w:proofErr w:type="spellEnd"/>
      <w:r>
        <w:rPr>
          <w:rFonts w:ascii="Arial" w:hAnsi="Arial" w:cs="Arial"/>
          <w:sz w:val="20"/>
          <w:szCs w:val="20"/>
        </w:rPr>
        <w:t xml:space="preserve"> 500 </w:t>
      </w:r>
      <w:proofErr w:type="spellStart"/>
      <w:r>
        <w:rPr>
          <w:rFonts w:ascii="Arial" w:hAnsi="Arial" w:cs="Arial"/>
          <w:sz w:val="20"/>
          <w:szCs w:val="20"/>
        </w:rPr>
        <w:t>копии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6A84B001" w14:textId="77777777" w:rsidR="00712ECA" w:rsidRPr="0045008B" w:rsidRDefault="00712ECA" w:rsidP="00712ECA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5008B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на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настан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за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размена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на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идеи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5008B">
        <w:rPr>
          <w:rFonts w:ascii="Arial" w:hAnsi="Arial" w:cs="Arial"/>
          <w:sz w:val="20"/>
          <w:szCs w:val="20"/>
        </w:rPr>
        <w:t>мислења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во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секторот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на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интернет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технологиите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008B">
        <w:rPr>
          <w:rFonts w:ascii="Arial" w:hAnsi="Arial" w:cs="Arial"/>
          <w:sz w:val="20"/>
          <w:szCs w:val="20"/>
        </w:rPr>
        <w:t>наменет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за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компании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во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Пелагонискиот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регион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5008B">
        <w:rPr>
          <w:rFonts w:ascii="Arial" w:hAnsi="Arial" w:cs="Arial"/>
          <w:sz w:val="20"/>
          <w:szCs w:val="20"/>
        </w:rPr>
        <w:t>На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настанот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треба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да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се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презентираат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5008B">
        <w:rPr>
          <w:rFonts w:ascii="Arial" w:hAnsi="Arial" w:cs="Arial"/>
          <w:sz w:val="20"/>
          <w:szCs w:val="20"/>
        </w:rPr>
        <w:t>иницираат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дискусии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за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иновативни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5008B">
        <w:rPr>
          <w:rFonts w:ascii="Arial" w:hAnsi="Arial" w:cs="Arial"/>
          <w:sz w:val="20"/>
          <w:szCs w:val="20"/>
        </w:rPr>
        <w:t>алтернативни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решенија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за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мониторинг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на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квалитетот</w:t>
      </w:r>
      <w:proofErr w:type="spellEnd"/>
      <w:r w:rsidRPr="004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08B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воздухот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Битола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регионот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>;</w:t>
      </w:r>
    </w:p>
    <w:p w14:paraId="66EC4CA9" w14:textId="51E3EF3A" w:rsidR="007F7B1E" w:rsidRDefault="00712ECA" w:rsidP="007F7B1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Организирање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филмски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проекции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Битола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јавни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дискусии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климатски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промени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енергетска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политика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праведна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транзиција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локални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алтернативни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решенија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снабдување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енергија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05D5FEF" w14:textId="4F8A3A52" w:rsidR="007F7B1E" w:rsidRDefault="007F7B1E">
      <w:pPr>
        <w:rPr>
          <w:szCs w:val="20"/>
        </w:rPr>
      </w:pPr>
      <w:r>
        <w:rPr>
          <w:szCs w:val="20"/>
        </w:rPr>
        <w:br w:type="page"/>
      </w:r>
    </w:p>
    <w:p w14:paraId="2E417768" w14:textId="15338914" w:rsidR="00712ECA" w:rsidRPr="007F7B1E" w:rsidRDefault="00A87CD3" w:rsidP="007F7B1E">
      <w:pPr>
        <w:pStyle w:val="Heading1"/>
      </w:pPr>
      <w:bookmarkStart w:id="3" w:name="_Toc28013334"/>
      <w:r w:rsidRPr="007F7B1E">
        <w:t xml:space="preserve">Рок и </w:t>
      </w:r>
      <w:r w:rsidR="00712ECA" w:rsidRPr="007F7B1E">
        <w:t>Вредност на договорот</w:t>
      </w:r>
      <w:bookmarkEnd w:id="3"/>
    </w:p>
    <w:p w14:paraId="71C56116" w14:textId="5A73AF13" w:rsidR="007861F6" w:rsidRPr="007861F6" w:rsidRDefault="00712ECA" w:rsidP="007861F6">
      <w:pPr>
        <w:shd w:val="clear" w:color="auto" w:fill="FFFFFF"/>
        <w:spacing w:after="300"/>
        <w:jc w:val="both"/>
        <w:textAlignment w:val="baseline"/>
        <w:rPr>
          <w:rFonts w:eastAsia="Times New Roman"/>
          <w:szCs w:val="20"/>
          <w:lang w:val="mk-MK" w:eastAsia="mk-MK"/>
        </w:rPr>
      </w:pPr>
      <w:proofErr w:type="spellStart"/>
      <w:r>
        <w:rPr>
          <w:rFonts w:eastAsia="Times New Roman"/>
          <w:szCs w:val="20"/>
          <w:lang w:eastAsia="mk-MK"/>
        </w:rPr>
        <w:t>Вредноста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на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договорот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кој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ќе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биде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склучен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за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спроведување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на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r w:rsidR="0040254E">
        <w:rPr>
          <w:rFonts w:eastAsia="Times New Roman"/>
          <w:szCs w:val="20"/>
          <w:lang w:val="mk-MK" w:eastAsia="mk-MK"/>
        </w:rPr>
        <w:t>Кампањата</w:t>
      </w:r>
      <w:r>
        <w:rPr>
          <w:rFonts w:eastAsia="Times New Roman"/>
          <w:szCs w:val="20"/>
          <w:lang w:eastAsia="mk-MK"/>
        </w:rPr>
        <w:t xml:space="preserve"> е 5000 </w:t>
      </w:r>
      <w:proofErr w:type="spellStart"/>
      <w:r>
        <w:rPr>
          <w:rFonts w:eastAsia="Times New Roman"/>
          <w:szCs w:val="20"/>
          <w:lang w:eastAsia="mk-MK"/>
        </w:rPr>
        <w:t>евра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во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денарска</w:t>
      </w:r>
      <w:proofErr w:type="spellEnd"/>
      <w:r>
        <w:rPr>
          <w:rFonts w:eastAsia="Times New Roman"/>
          <w:szCs w:val="20"/>
          <w:lang w:eastAsia="mk-MK"/>
        </w:rPr>
        <w:t xml:space="preserve"> </w:t>
      </w:r>
      <w:proofErr w:type="spellStart"/>
      <w:r>
        <w:rPr>
          <w:rFonts w:eastAsia="Times New Roman"/>
          <w:szCs w:val="20"/>
          <w:lang w:eastAsia="mk-MK"/>
        </w:rPr>
        <w:t>противредност</w:t>
      </w:r>
      <w:proofErr w:type="spellEnd"/>
      <w:r>
        <w:rPr>
          <w:rFonts w:eastAsia="Times New Roman"/>
          <w:szCs w:val="20"/>
          <w:lang w:eastAsia="mk-MK"/>
        </w:rPr>
        <w:t>.</w:t>
      </w:r>
      <w:r w:rsidR="00A87CD3">
        <w:rPr>
          <w:rFonts w:eastAsia="Times New Roman"/>
          <w:szCs w:val="20"/>
          <w:lang w:val="mk-MK" w:eastAsia="mk-MK"/>
        </w:rPr>
        <w:t xml:space="preserve"> Од страна на потенцијалниот изведувач е потребно да биде направена редистрибуција на максималниот буџет за одделните ставки (дадени во Анекс 1 – Формулар за пријава).</w:t>
      </w:r>
      <w:r w:rsidR="007861F6">
        <w:rPr>
          <w:rFonts w:eastAsia="Times New Roman"/>
          <w:szCs w:val="20"/>
          <w:lang w:val="mk-MK" w:eastAsia="mk-MK"/>
        </w:rPr>
        <w:t xml:space="preserve"> Притоа за буџетската ставка Изготвување и с</w:t>
      </w:r>
      <w:proofErr w:type="spellStart"/>
      <w:r w:rsidR="007861F6">
        <w:rPr>
          <w:szCs w:val="20"/>
        </w:rPr>
        <w:t>проведување</w:t>
      </w:r>
      <w:proofErr w:type="spellEnd"/>
      <w:r w:rsidR="007861F6">
        <w:rPr>
          <w:szCs w:val="20"/>
        </w:rPr>
        <w:t xml:space="preserve"> </w:t>
      </w:r>
      <w:proofErr w:type="spellStart"/>
      <w:r w:rsidR="007861F6">
        <w:rPr>
          <w:szCs w:val="20"/>
        </w:rPr>
        <w:t>на</w:t>
      </w:r>
      <w:proofErr w:type="spellEnd"/>
      <w:r w:rsidR="007861F6">
        <w:rPr>
          <w:szCs w:val="20"/>
        </w:rPr>
        <w:t xml:space="preserve"> </w:t>
      </w:r>
      <w:proofErr w:type="spellStart"/>
      <w:r w:rsidR="007861F6">
        <w:rPr>
          <w:szCs w:val="20"/>
        </w:rPr>
        <w:t>јавна</w:t>
      </w:r>
      <w:proofErr w:type="spellEnd"/>
      <w:r w:rsidR="007861F6">
        <w:rPr>
          <w:szCs w:val="20"/>
        </w:rPr>
        <w:t xml:space="preserve"> </w:t>
      </w:r>
      <w:proofErr w:type="spellStart"/>
      <w:r w:rsidR="007861F6">
        <w:rPr>
          <w:szCs w:val="20"/>
        </w:rPr>
        <w:t>кампања</w:t>
      </w:r>
      <w:proofErr w:type="spellEnd"/>
      <w:r w:rsidR="007861F6">
        <w:rPr>
          <w:szCs w:val="20"/>
          <w:lang w:val="mk-MK"/>
        </w:rPr>
        <w:t xml:space="preserve"> задолжително е да се предвиди минимум од 120.000 МКД.</w:t>
      </w:r>
    </w:p>
    <w:p w14:paraId="02C8FDD3" w14:textId="4D7B6EE3" w:rsidR="00A87CD3" w:rsidRDefault="00A87CD3" w:rsidP="00712ECA">
      <w:pPr>
        <w:shd w:val="clear" w:color="auto" w:fill="FFFFFF"/>
        <w:spacing w:after="300"/>
        <w:jc w:val="both"/>
        <w:textAlignment w:val="baseline"/>
        <w:rPr>
          <w:rFonts w:eastAsia="Times New Roman"/>
          <w:szCs w:val="20"/>
          <w:lang w:val="mk-MK" w:eastAsia="mk-MK"/>
        </w:rPr>
      </w:pPr>
      <w:r>
        <w:rPr>
          <w:rFonts w:eastAsia="Times New Roman"/>
          <w:szCs w:val="20"/>
          <w:lang w:val="mk-MK" w:eastAsia="mk-MK"/>
        </w:rPr>
        <w:t>Договорот за спроведување на кампањата е 6 месеци, од 01.01.2020 до 30.06.2020 година. Рокот за спроведување на активностите може да се продолжи без финансиски импликации при взаемна согласност на двете страни.</w:t>
      </w:r>
    </w:p>
    <w:p w14:paraId="494E545C" w14:textId="5E9B79EC" w:rsidR="00A87CD3" w:rsidRPr="00A87CD3" w:rsidRDefault="00A87CD3" w:rsidP="00712ECA">
      <w:pPr>
        <w:shd w:val="clear" w:color="auto" w:fill="FFFFFF"/>
        <w:spacing w:after="300"/>
        <w:jc w:val="both"/>
        <w:textAlignment w:val="baseline"/>
        <w:rPr>
          <w:rFonts w:eastAsia="Times New Roman"/>
          <w:szCs w:val="20"/>
          <w:lang w:val="mk-MK" w:eastAsia="mk-MK"/>
        </w:rPr>
      </w:pPr>
      <w:r>
        <w:rPr>
          <w:rFonts w:eastAsia="Times New Roman"/>
          <w:szCs w:val="20"/>
          <w:lang w:val="mk-MK" w:eastAsia="mk-MK"/>
        </w:rPr>
        <w:t>Плаќањето на изведувачот ќе се врши во на два пати, еднаш пред започнување на проектот и еднаш по завршување на активностите од договорот.</w:t>
      </w:r>
    </w:p>
    <w:p w14:paraId="289F4EBD" w14:textId="75DA9AA6" w:rsidR="0019316C" w:rsidRPr="007F7B1E" w:rsidRDefault="0019316C" w:rsidP="007F7B1E">
      <w:pPr>
        <w:pStyle w:val="Heading1"/>
      </w:pPr>
      <w:bookmarkStart w:id="4" w:name="_Toc28013335"/>
      <w:r w:rsidRPr="007F7B1E">
        <w:t>Критериуми за учество на повикот</w:t>
      </w:r>
      <w:bookmarkEnd w:id="4"/>
    </w:p>
    <w:p w14:paraId="440036F5" w14:textId="2C96BCD2" w:rsidR="001F755F" w:rsidRPr="008451E8" w:rsidRDefault="001F755F" w:rsidP="001F755F">
      <w:pPr>
        <w:jc w:val="both"/>
        <w:rPr>
          <w:b/>
          <w:bCs/>
          <w:color w:val="000000"/>
          <w:szCs w:val="20"/>
          <w:lang w:val="mk-MK" w:eastAsia="mk-MK"/>
        </w:rPr>
      </w:pPr>
      <w:r w:rsidRPr="008451E8">
        <w:rPr>
          <w:b/>
          <w:bCs/>
          <w:color w:val="000000"/>
          <w:szCs w:val="20"/>
          <w:lang w:val="mk-MK" w:eastAsia="mk-MK"/>
        </w:rPr>
        <w:t xml:space="preserve">Повикот е наменет за граѓански организации регистрирани во Република Македонија согласно Законот за здруженија и фондации и </w:t>
      </w:r>
      <w:r w:rsidR="00A87CD3">
        <w:rPr>
          <w:b/>
          <w:bCs/>
          <w:color w:val="000000"/>
          <w:szCs w:val="20"/>
          <w:lang w:val="mk-MK" w:eastAsia="mk-MK"/>
        </w:rPr>
        <w:t xml:space="preserve">Приватни компании кои се </w:t>
      </w:r>
      <w:r w:rsidR="002E1EDC">
        <w:rPr>
          <w:b/>
          <w:bCs/>
          <w:color w:val="000000"/>
          <w:szCs w:val="20"/>
          <w:lang w:val="mk-MK" w:eastAsia="mk-MK"/>
        </w:rPr>
        <w:t>формирани согласно Законот за трговски друштва</w:t>
      </w:r>
      <w:r w:rsidRPr="008451E8">
        <w:rPr>
          <w:b/>
          <w:bCs/>
          <w:color w:val="000000"/>
          <w:szCs w:val="20"/>
          <w:lang w:val="mk-MK" w:eastAsia="mk-MK"/>
        </w:rPr>
        <w:t xml:space="preserve">. </w:t>
      </w:r>
    </w:p>
    <w:p w14:paraId="3A687489" w14:textId="77777777" w:rsidR="00C337C9" w:rsidRPr="008451E8" w:rsidRDefault="00C337C9" w:rsidP="001F755F">
      <w:pPr>
        <w:jc w:val="both"/>
        <w:rPr>
          <w:b/>
          <w:bCs/>
          <w:color w:val="000000"/>
          <w:szCs w:val="20"/>
          <w:lang w:val="mk-MK" w:eastAsia="mk-MK"/>
        </w:rPr>
      </w:pPr>
    </w:p>
    <w:p w14:paraId="57491AC3" w14:textId="37A956BC" w:rsidR="001F755F" w:rsidRPr="008451E8" w:rsidRDefault="001F755F" w:rsidP="001F755F">
      <w:pPr>
        <w:jc w:val="both"/>
        <w:rPr>
          <w:b/>
          <w:bCs/>
          <w:color w:val="000000"/>
          <w:szCs w:val="20"/>
          <w:lang w:val="mk-MK" w:eastAsia="mk-MK"/>
        </w:rPr>
      </w:pPr>
      <w:r w:rsidRPr="008451E8">
        <w:rPr>
          <w:b/>
          <w:bCs/>
          <w:color w:val="000000"/>
          <w:szCs w:val="20"/>
          <w:lang w:val="mk-MK" w:eastAsia="mk-MK"/>
        </w:rPr>
        <w:t>Право на аплицирање имаат организациите</w:t>
      </w:r>
      <w:r w:rsidR="002E1EDC">
        <w:rPr>
          <w:b/>
          <w:bCs/>
          <w:color w:val="000000"/>
          <w:szCs w:val="20"/>
          <w:lang w:val="mk-MK" w:eastAsia="mk-MK"/>
        </w:rPr>
        <w:t>/ компаниите</w:t>
      </w:r>
      <w:r w:rsidRPr="008451E8">
        <w:rPr>
          <w:b/>
          <w:bCs/>
          <w:color w:val="000000"/>
          <w:szCs w:val="20"/>
          <w:lang w:val="mk-MK" w:eastAsia="mk-MK"/>
        </w:rPr>
        <w:t xml:space="preserve"> кои пред </w:t>
      </w:r>
      <w:r w:rsidR="00B9012D" w:rsidRPr="008451E8">
        <w:rPr>
          <w:b/>
          <w:bCs/>
          <w:color w:val="000000"/>
          <w:szCs w:val="20"/>
          <w:lang w:val="mk-MK" w:eastAsia="mk-MK"/>
        </w:rPr>
        <w:t>објавувањето</w:t>
      </w:r>
      <w:r w:rsidRPr="008451E8">
        <w:rPr>
          <w:b/>
          <w:bCs/>
          <w:color w:val="000000"/>
          <w:szCs w:val="20"/>
          <w:lang w:val="mk-MK" w:eastAsia="mk-MK"/>
        </w:rPr>
        <w:t xml:space="preserve"> на овој повик биле </w:t>
      </w:r>
      <w:r w:rsidR="00372327" w:rsidRPr="008451E8">
        <w:rPr>
          <w:b/>
          <w:bCs/>
          <w:color w:val="000000"/>
          <w:szCs w:val="20"/>
          <w:lang w:val="mk-MK" w:eastAsia="mk-MK"/>
        </w:rPr>
        <w:t>регистрирани</w:t>
      </w:r>
      <w:r w:rsidRPr="008451E8">
        <w:rPr>
          <w:b/>
          <w:bCs/>
          <w:color w:val="000000"/>
          <w:szCs w:val="20"/>
          <w:lang w:val="mk-MK" w:eastAsia="mk-MK"/>
        </w:rPr>
        <w:t xml:space="preserve"> најмалку 2 (две) години.</w:t>
      </w:r>
    </w:p>
    <w:p w14:paraId="2A949FCE" w14:textId="77777777" w:rsidR="002E39B0" w:rsidRPr="00316CD0" w:rsidRDefault="002E39B0" w:rsidP="001F755F">
      <w:pPr>
        <w:jc w:val="both"/>
        <w:rPr>
          <w:bCs/>
          <w:color w:val="000000"/>
          <w:szCs w:val="20"/>
          <w:lang w:val="mk-MK" w:eastAsia="mk-MK"/>
        </w:rPr>
      </w:pPr>
    </w:p>
    <w:p w14:paraId="600F2C66" w14:textId="77777777" w:rsidR="002E39B0" w:rsidRPr="001E7496" w:rsidRDefault="002E39B0" w:rsidP="002E39B0">
      <w:pPr>
        <w:jc w:val="both"/>
        <w:rPr>
          <w:b/>
          <w:bCs/>
          <w:color w:val="000000"/>
          <w:szCs w:val="20"/>
          <w:u w:val="single"/>
          <w:lang w:val="mk-MK" w:eastAsia="mk-MK"/>
        </w:rPr>
      </w:pPr>
      <w:r w:rsidRPr="001E7496">
        <w:rPr>
          <w:b/>
          <w:bCs/>
          <w:color w:val="000000"/>
          <w:szCs w:val="20"/>
          <w:u w:val="single"/>
          <w:lang w:val="mk-MK" w:eastAsia="mk-MK"/>
        </w:rPr>
        <w:t>Апликациите кои нема да ги исполнат следните услови, нема да можат да бидат земени во предвид:</w:t>
      </w:r>
    </w:p>
    <w:p w14:paraId="41272E54" w14:textId="55CE574F" w:rsidR="002E39B0" w:rsidRPr="00316CD0" w:rsidRDefault="002E1EDC" w:rsidP="002E39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Формуларот на пријава </w:t>
      </w:r>
      <w:r w:rsidR="002E39B0"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не е целосно пополнет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или не ги вклучува</w:t>
      </w:r>
      <w:r w:rsidR="002E39B0"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потребните прилози;</w:t>
      </w:r>
    </w:p>
    <w:p w14:paraId="2B3FF8AB" w14:textId="19C51395" w:rsidR="001F755F" w:rsidRPr="007861F6" w:rsidRDefault="00B10F86" w:rsidP="007861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Поднесувањето е извршено п</w:t>
      </w:r>
      <w:r w:rsidR="002E39B0" w:rsidRPr="00316CD0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осле истекот на </w:t>
      </w:r>
      <w:r w:rsidR="002E1EDC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крајниот рок наведен во повикот.</w:t>
      </w:r>
    </w:p>
    <w:p w14:paraId="0E75445F" w14:textId="04D2D1BC" w:rsidR="0019316C" w:rsidRPr="00551CD5" w:rsidRDefault="00C337C9" w:rsidP="007F7B1E">
      <w:pPr>
        <w:pStyle w:val="Heading1"/>
      </w:pPr>
      <w:bookmarkStart w:id="5" w:name="_Toc28013336"/>
      <w:r w:rsidRPr="00551CD5">
        <w:t>Начин на  аплицирање</w:t>
      </w:r>
      <w:bookmarkEnd w:id="5"/>
    </w:p>
    <w:p w14:paraId="44DB8BD4" w14:textId="345BF16F" w:rsidR="00176225" w:rsidRPr="00316CD0" w:rsidRDefault="00176225" w:rsidP="0024770B">
      <w:pPr>
        <w:jc w:val="both"/>
        <w:rPr>
          <w:szCs w:val="20"/>
          <w:lang w:val="mk-MK"/>
        </w:rPr>
      </w:pPr>
      <w:r w:rsidRPr="00316CD0">
        <w:rPr>
          <w:szCs w:val="20"/>
          <w:lang w:val="mk-MK"/>
        </w:rPr>
        <w:t>Граѓанските организации</w:t>
      </w:r>
      <w:r w:rsidR="002E1EDC">
        <w:rPr>
          <w:szCs w:val="20"/>
          <w:lang w:val="mk-MK"/>
        </w:rPr>
        <w:t>/ приватните компании</w:t>
      </w:r>
      <w:r w:rsidRPr="00316CD0">
        <w:rPr>
          <w:szCs w:val="20"/>
          <w:lang w:val="mk-MK"/>
        </w:rPr>
        <w:t xml:space="preserve"> аплицираат со пополнување на соодве</w:t>
      </w:r>
      <w:r w:rsidR="0024770B" w:rsidRPr="00316CD0">
        <w:rPr>
          <w:szCs w:val="20"/>
          <w:lang w:val="mk-MK"/>
        </w:rPr>
        <w:t xml:space="preserve">тната пријава </w:t>
      </w:r>
      <w:r w:rsidR="0061757B">
        <w:rPr>
          <w:szCs w:val="20"/>
          <w:lang w:val="en-US"/>
        </w:rPr>
        <w:t>(</w:t>
      </w:r>
      <w:r w:rsidR="0061757B">
        <w:rPr>
          <w:szCs w:val="20"/>
          <w:lang w:val="mk-MK"/>
        </w:rPr>
        <w:t>даден</w:t>
      </w:r>
      <w:r w:rsidR="002E1EDC">
        <w:rPr>
          <w:szCs w:val="20"/>
          <w:lang w:val="mk-MK"/>
        </w:rPr>
        <w:t>а</w:t>
      </w:r>
      <w:r w:rsidR="0061757B">
        <w:rPr>
          <w:szCs w:val="20"/>
          <w:lang w:val="mk-MK"/>
        </w:rPr>
        <w:t xml:space="preserve"> во прилог на оваа апликација)</w:t>
      </w:r>
      <w:r w:rsidR="0024770B" w:rsidRPr="00316CD0">
        <w:rPr>
          <w:szCs w:val="20"/>
          <w:lang w:val="mk-MK"/>
        </w:rPr>
        <w:t xml:space="preserve">. </w:t>
      </w:r>
    </w:p>
    <w:p w14:paraId="6138D7E6" w14:textId="754CCC97" w:rsidR="00176225" w:rsidRPr="00316CD0" w:rsidRDefault="00176225" w:rsidP="0024770B">
      <w:pPr>
        <w:jc w:val="both"/>
        <w:rPr>
          <w:szCs w:val="20"/>
          <w:lang w:val="mk-MK"/>
        </w:rPr>
      </w:pPr>
    </w:p>
    <w:p w14:paraId="2EFF64E0" w14:textId="6375CA80" w:rsidR="00BE777E" w:rsidRPr="00493E11" w:rsidRDefault="00176225" w:rsidP="0024770B">
      <w:pPr>
        <w:jc w:val="both"/>
        <w:rPr>
          <w:b/>
          <w:szCs w:val="20"/>
          <w:lang w:val="mk-MK"/>
        </w:rPr>
      </w:pPr>
      <w:r w:rsidRPr="00316CD0">
        <w:rPr>
          <w:szCs w:val="20"/>
          <w:lang w:val="mk-MK"/>
        </w:rPr>
        <w:t>Целосните апликации со придружните документи треба да се и</w:t>
      </w:r>
      <w:r w:rsidR="002E1EDC">
        <w:rPr>
          <w:szCs w:val="20"/>
          <w:lang w:val="mk-MK"/>
        </w:rPr>
        <w:t xml:space="preserve">спратат во електронска форма на </w:t>
      </w:r>
      <w:r w:rsidR="002E1EDC">
        <w:rPr>
          <w:szCs w:val="20"/>
          <w:lang w:val="en-US"/>
        </w:rPr>
        <w:t>ana@ekosvest.com.mk</w:t>
      </w:r>
      <w:r w:rsidR="0061757B" w:rsidRPr="0061757B">
        <w:rPr>
          <w:szCs w:val="20"/>
          <w:lang w:val="mk-MK"/>
        </w:rPr>
        <w:t xml:space="preserve"> </w:t>
      </w:r>
      <w:r w:rsidRPr="00316CD0">
        <w:rPr>
          <w:szCs w:val="20"/>
          <w:lang w:val="mk-MK"/>
        </w:rPr>
        <w:t>(</w:t>
      </w:r>
      <w:r w:rsidRPr="00EC5864">
        <w:rPr>
          <w:b/>
          <w:szCs w:val="20"/>
          <w:lang w:val="mk-MK"/>
        </w:rPr>
        <w:t xml:space="preserve">со назнака во </w:t>
      </w:r>
      <w:proofErr w:type="spellStart"/>
      <w:r w:rsidRPr="00EC5864">
        <w:rPr>
          <w:b/>
          <w:szCs w:val="20"/>
          <w:lang w:val="mk-MK"/>
        </w:rPr>
        <w:t>subject</w:t>
      </w:r>
      <w:proofErr w:type="spellEnd"/>
      <w:r w:rsidRPr="00EC5864">
        <w:rPr>
          <w:b/>
          <w:szCs w:val="20"/>
          <w:lang w:val="mk-MK"/>
        </w:rPr>
        <w:t xml:space="preserve">: </w:t>
      </w:r>
      <w:r w:rsidR="002E1EDC">
        <w:rPr>
          <w:b/>
          <w:szCs w:val="20"/>
          <w:lang w:val="mk-MK"/>
        </w:rPr>
        <w:t>Кампања за одржливо живеење</w:t>
      </w:r>
      <w:r w:rsidRPr="00316CD0">
        <w:rPr>
          <w:szCs w:val="20"/>
          <w:lang w:val="mk-MK"/>
        </w:rPr>
        <w:t xml:space="preserve">) не подоцна од </w:t>
      </w:r>
      <w:r w:rsidR="002E1EDC">
        <w:rPr>
          <w:b/>
          <w:szCs w:val="20"/>
          <w:lang w:val="mk-MK"/>
        </w:rPr>
        <w:t>29</w:t>
      </w:r>
      <w:r w:rsidR="00373DDA" w:rsidRPr="00493E11">
        <w:rPr>
          <w:b/>
          <w:szCs w:val="20"/>
          <w:lang w:val="mk-MK"/>
        </w:rPr>
        <w:t xml:space="preserve"> </w:t>
      </w:r>
      <w:r w:rsidR="002E1EDC">
        <w:rPr>
          <w:b/>
          <w:szCs w:val="20"/>
          <w:lang w:val="mk-MK"/>
        </w:rPr>
        <w:t>декември</w:t>
      </w:r>
      <w:r w:rsidR="00D70071" w:rsidRPr="00493E11">
        <w:rPr>
          <w:b/>
          <w:szCs w:val="20"/>
          <w:lang w:val="mk-MK"/>
        </w:rPr>
        <w:t xml:space="preserve"> </w:t>
      </w:r>
      <w:r w:rsidR="00373DDA" w:rsidRPr="00493E11">
        <w:rPr>
          <w:b/>
          <w:szCs w:val="20"/>
          <w:lang w:val="mk-MK"/>
        </w:rPr>
        <w:t>2019 година</w:t>
      </w:r>
      <w:r w:rsidR="00424881" w:rsidRPr="00493E11">
        <w:rPr>
          <w:b/>
          <w:szCs w:val="20"/>
          <w:lang w:val="mk-MK"/>
        </w:rPr>
        <w:t xml:space="preserve"> во 23:59 часот</w:t>
      </w:r>
      <w:r w:rsidR="007E54E2" w:rsidRPr="00493E11">
        <w:rPr>
          <w:b/>
          <w:szCs w:val="20"/>
          <w:lang w:val="mk-MK"/>
        </w:rPr>
        <w:t xml:space="preserve">. </w:t>
      </w:r>
    </w:p>
    <w:p w14:paraId="2885C17D" w14:textId="77777777" w:rsidR="00176225" w:rsidRPr="00316CD0" w:rsidRDefault="00176225" w:rsidP="0024770B">
      <w:pPr>
        <w:jc w:val="both"/>
        <w:rPr>
          <w:szCs w:val="20"/>
          <w:lang w:val="mk-MK"/>
        </w:rPr>
      </w:pPr>
    </w:p>
    <w:p w14:paraId="734537DD" w14:textId="258F21A2" w:rsidR="00595FC5" w:rsidRPr="00316CD0" w:rsidRDefault="00BE777E" w:rsidP="0024770B">
      <w:pPr>
        <w:jc w:val="both"/>
        <w:rPr>
          <w:szCs w:val="20"/>
          <w:lang w:val="mk-MK"/>
        </w:rPr>
      </w:pPr>
      <w:r w:rsidRPr="00316CD0">
        <w:rPr>
          <w:szCs w:val="20"/>
          <w:lang w:val="mk-MK"/>
        </w:rPr>
        <w:t xml:space="preserve">Сите прашања </w:t>
      </w:r>
      <w:r w:rsidR="0024770B" w:rsidRPr="00316CD0">
        <w:rPr>
          <w:szCs w:val="20"/>
          <w:lang w:val="mk-MK"/>
        </w:rPr>
        <w:t>во врска со апликацијата</w:t>
      </w:r>
      <w:r w:rsidRPr="00316CD0">
        <w:rPr>
          <w:szCs w:val="20"/>
          <w:lang w:val="mk-MK"/>
        </w:rPr>
        <w:t xml:space="preserve"> може да се поставуваат</w:t>
      </w:r>
      <w:r w:rsidR="00200CC4">
        <w:rPr>
          <w:szCs w:val="20"/>
          <w:lang w:val="mk-MK"/>
        </w:rPr>
        <w:t xml:space="preserve"> во писмена форма</w:t>
      </w:r>
      <w:r w:rsidRPr="00316CD0">
        <w:rPr>
          <w:szCs w:val="20"/>
          <w:lang w:val="mk-MK"/>
        </w:rPr>
        <w:t xml:space="preserve"> </w:t>
      </w:r>
      <w:r w:rsidRPr="00200CC4">
        <w:rPr>
          <w:szCs w:val="20"/>
          <w:lang w:val="mk-MK"/>
        </w:rPr>
        <w:t>најдоцна</w:t>
      </w:r>
      <w:r w:rsidR="008D3BD4" w:rsidRPr="00200CC4">
        <w:rPr>
          <w:szCs w:val="20"/>
          <w:lang w:val="en-US"/>
        </w:rPr>
        <w:t xml:space="preserve"> </w:t>
      </w:r>
      <w:r w:rsidR="00200CC4">
        <w:rPr>
          <w:szCs w:val="20"/>
          <w:lang w:val="mk-MK"/>
        </w:rPr>
        <w:t xml:space="preserve">до </w:t>
      </w:r>
      <w:r w:rsidR="002E1EDC">
        <w:rPr>
          <w:szCs w:val="20"/>
          <w:lang w:val="mk-MK"/>
        </w:rPr>
        <w:t>26 декември</w:t>
      </w:r>
      <w:r w:rsidR="00200CC4">
        <w:rPr>
          <w:szCs w:val="20"/>
          <w:lang w:val="mk-MK"/>
        </w:rPr>
        <w:t xml:space="preserve"> 2019 година до 16 часот</w:t>
      </w:r>
      <w:r w:rsidR="00A8462F" w:rsidRPr="00316CD0">
        <w:rPr>
          <w:szCs w:val="20"/>
          <w:lang w:val="mk-MK"/>
        </w:rPr>
        <w:t xml:space="preserve"> </w:t>
      </w:r>
      <w:r w:rsidRPr="00316CD0">
        <w:rPr>
          <w:szCs w:val="20"/>
          <w:lang w:val="mk-MK"/>
        </w:rPr>
        <w:t xml:space="preserve">на електронската адреса </w:t>
      </w:r>
      <w:r w:rsidR="002E1EDC">
        <w:rPr>
          <w:szCs w:val="20"/>
          <w:lang w:val="en-US"/>
        </w:rPr>
        <w:t>ana@ekosvest.com.mk</w:t>
      </w:r>
      <w:r w:rsidR="002E1EDC" w:rsidRPr="0061757B">
        <w:rPr>
          <w:szCs w:val="20"/>
          <w:lang w:val="mk-MK"/>
        </w:rPr>
        <w:t xml:space="preserve"> </w:t>
      </w:r>
      <w:r w:rsidRPr="00EC5864">
        <w:rPr>
          <w:b/>
          <w:szCs w:val="20"/>
          <w:lang w:val="mk-MK"/>
        </w:rPr>
        <w:t>со назнака</w:t>
      </w:r>
      <w:r w:rsidR="00EC5864" w:rsidRPr="00EC5864">
        <w:rPr>
          <w:b/>
          <w:szCs w:val="20"/>
          <w:lang w:val="mk-MK"/>
        </w:rPr>
        <w:t xml:space="preserve"> во </w:t>
      </w:r>
      <w:proofErr w:type="spellStart"/>
      <w:r w:rsidR="00EC5864" w:rsidRPr="00EC5864">
        <w:rPr>
          <w:b/>
          <w:szCs w:val="20"/>
          <w:lang w:val="mk-MK"/>
        </w:rPr>
        <w:t>subject</w:t>
      </w:r>
      <w:proofErr w:type="spellEnd"/>
      <w:r w:rsidR="00EC5864" w:rsidRPr="00EC5864">
        <w:rPr>
          <w:b/>
          <w:szCs w:val="20"/>
          <w:lang w:val="mk-MK"/>
        </w:rPr>
        <w:t xml:space="preserve">: </w:t>
      </w:r>
      <w:r w:rsidRPr="00EC5864">
        <w:rPr>
          <w:b/>
          <w:szCs w:val="20"/>
          <w:lang w:val="mk-MK"/>
        </w:rPr>
        <w:t>„</w:t>
      </w:r>
      <w:r w:rsidR="00A8462F" w:rsidRPr="00EC5864">
        <w:rPr>
          <w:b/>
          <w:szCs w:val="20"/>
          <w:lang w:val="mk-MK"/>
        </w:rPr>
        <w:t xml:space="preserve">прашање за </w:t>
      </w:r>
      <w:r w:rsidR="002E1EDC">
        <w:rPr>
          <w:b/>
          <w:szCs w:val="20"/>
          <w:lang w:val="mk-MK"/>
        </w:rPr>
        <w:t>Кампања за одржливо живеење</w:t>
      </w:r>
      <w:r w:rsidR="002E1EDC" w:rsidRPr="00EC5864">
        <w:rPr>
          <w:b/>
          <w:szCs w:val="20"/>
          <w:lang w:val="mk-MK"/>
        </w:rPr>
        <w:t xml:space="preserve"> </w:t>
      </w:r>
      <w:r w:rsidRPr="00EC5864">
        <w:rPr>
          <w:b/>
          <w:szCs w:val="20"/>
          <w:lang w:val="mk-MK"/>
        </w:rPr>
        <w:t>“</w:t>
      </w:r>
      <w:r w:rsidR="00200CC4">
        <w:rPr>
          <w:b/>
          <w:szCs w:val="20"/>
          <w:lang w:val="mk-MK"/>
        </w:rPr>
        <w:t xml:space="preserve">. </w:t>
      </w:r>
      <w:r w:rsidR="00200CC4">
        <w:rPr>
          <w:szCs w:val="20"/>
          <w:lang w:val="mk-MK"/>
        </w:rPr>
        <w:t xml:space="preserve">Сите прашања поставени за време на </w:t>
      </w:r>
      <w:proofErr w:type="spellStart"/>
      <w:r w:rsidR="00200CC4">
        <w:rPr>
          <w:szCs w:val="20"/>
          <w:lang w:val="mk-MK"/>
        </w:rPr>
        <w:t>инфо</w:t>
      </w:r>
      <w:proofErr w:type="spellEnd"/>
      <w:r w:rsidR="00200CC4">
        <w:rPr>
          <w:szCs w:val="20"/>
          <w:lang w:val="mk-MK"/>
        </w:rPr>
        <w:t xml:space="preserve"> сесиите и поставени писмено по електронски пат ќе бидат одговорени </w:t>
      </w:r>
      <w:r w:rsidRPr="00316CD0">
        <w:rPr>
          <w:szCs w:val="20"/>
          <w:lang w:val="mk-MK"/>
        </w:rPr>
        <w:t xml:space="preserve">во писмена форма и објавени </w:t>
      </w:r>
      <w:r w:rsidR="00200CC4">
        <w:rPr>
          <w:szCs w:val="20"/>
          <w:lang w:val="mk-MK"/>
        </w:rPr>
        <w:t xml:space="preserve">на истата врска каде е објавен и овој повик најдоцна до </w:t>
      </w:r>
      <w:r w:rsidR="002E1EDC">
        <w:rPr>
          <w:szCs w:val="20"/>
          <w:lang w:val="mk-MK"/>
        </w:rPr>
        <w:t>27</w:t>
      </w:r>
      <w:r w:rsidR="00200CC4">
        <w:rPr>
          <w:szCs w:val="20"/>
          <w:lang w:val="mk-MK"/>
        </w:rPr>
        <w:t xml:space="preserve"> </w:t>
      </w:r>
      <w:r w:rsidR="002E1EDC">
        <w:rPr>
          <w:szCs w:val="20"/>
          <w:lang w:val="mk-MK"/>
        </w:rPr>
        <w:t>декември</w:t>
      </w:r>
      <w:r w:rsidR="00200CC4">
        <w:rPr>
          <w:szCs w:val="20"/>
          <w:lang w:val="mk-MK"/>
        </w:rPr>
        <w:t xml:space="preserve"> 2019 година во </w:t>
      </w:r>
      <w:r w:rsidR="002E1EDC">
        <w:rPr>
          <w:szCs w:val="20"/>
          <w:lang w:val="mk-MK"/>
        </w:rPr>
        <w:t>14:00</w:t>
      </w:r>
      <w:r w:rsidR="00200CC4">
        <w:rPr>
          <w:szCs w:val="20"/>
          <w:lang w:val="mk-MK"/>
        </w:rPr>
        <w:t xml:space="preserve"> часот.</w:t>
      </w:r>
      <w:r w:rsidRPr="00316CD0">
        <w:rPr>
          <w:szCs w:val="20"/>
          <w:lang w:val="mk-MK"/>
        </w:rPr>
        <w:t xml:space="preserve"> Прашања поставени по телефон нема да се одговараат. Прашања поставени по рокот за поставување прашања нема да се одговараат.</w:t>
      </w:r>
    </w:p>
    <w:p w14:paraId="1CB37302" w14:textId="77777777" w:rsidR="0024770B" w:rsidRPr="00316CD0" w:rsidRDefault="0024770B" w:rsidP="0024770B">
      <w:pPr>
        <w:jc w:val="both"/>
        <w:rPr>
          <w:szCs w:val="20"/>
          <w:lang w:val="mk-MK"/>
        </w:rPr>
      </w:pPr>
    </w:p>
    <w:p w14:paraId="3EB953ED" w14:textId="7D0A3776" w:rsidR="006F58C0" w:rsidRPr="00316CD0" w:rsidRDefault="006F58C0" w:rsidP="0024770B">
      <w:pPr>
        <w:jc w:val="both"/>
        <w:rPr>
          <w:szCs w:val="20"/>
          <w:lang w:val="mk-MK"/>
        </w:rPr>
      </w:pPr>
      <w:r w:rsidRPr="00316CD0">
        <w:rPr>
          <w:szCs w:val="20"/>
          <w:lang w:val="mk-MK"/>
        </w:rPr>
        <w:t>Комплетната апликација треба да содржи:</w:t>
      </w:r>
    </w:p>
    <w:p w14:paraId="14BFCC3B" w14:textId="7172F156" w:rsidR="006F58C0" w:rsidRPr="00316CD0" w:rsidRDefault="0024770B" w:rsidP="002477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316CD0">
        <w:rPr>
          <w:rFonts w:ascii="Arial" w:hAnsi="Arial" w:cs="Arial"/>
          <w:sz w:val="20"/>
          <w:szCs w:val="20"/>
          <w:lang w:val="mk-MK"/>
        </w:rPr>
        <w:t>Пријава за предлог проект</w:t>
      </w:r>
      <w:r w:rsidR="004E4AA1" w:rsidRPr="00316CD0">
        <w:rPr>
          <w:rFonts w:ascii="Arial" w:hAnsi="Arial" w:cs="Arial"/>
          <w:sz w:val="20"/>
          <w:szCs w:val="20"/>
          <w:lang w:val="mk-MK"/>
        </w:rPr>
        <w:t xml:space="preserve"> (Анекс 1</w:t>
      </w:r>
      <w:r w:rsidR="006F58C0" w:rsidRPr="00316CD0">
        <w:rPr>
          <w:rFonts w:ascii="Arial" w:hAnsi="Arial" w:cs="Arial"/>
          <w:sz w:val="20"/>
          <w:szCs w:val="20"/>
          <w:lang w:val="mk-MK"/>
        </w:rPr>
        <w:t>)</w:t>
      </w:r>
    </w:p>
    <w:p w14:paraId="375B93C9" w14:textId="30E5EC0F" w:rsidR="006F58C0" w:rsidRPr="00316CD0" w:rsidRDefault="00595FC5" w:rsidP="002477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Т</w:t>
      </w:r>
      <w:r w:rsidR="006F58C0" w:rsidRPr="00316CD0">
        <w:rPr>
          <w:rFonts w:ascii="Arial" w:hAnsi="Arial" w:cs="Arial"/>
          <w:sz w:val="20"/>
          <w:szCs w:val="20"/>
          <w:lang w:val="mk-MK"/>
        </w:rPr>
        <w:t>ековна состојба не постара од 6 месеци</w:t>
      </w:r>
    </w:p>
    <w:p w14:paraId="4347E831" w14:textId="39AB255D" w:rsidR="002E1EDC" w:rsidRPr="002E1EDC" w:rsidRDefault="002E1EDC" w:rsidP="002477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Листа на претходни проекти (</w:t>
      </w:r>
      <w:r>
        <w:rPr>
          <w:rFonts w:ascii="Arial" w:hAnsi="Arial" w:cs="Arial"/>
          <w:sz w:val="20"/>
          <w:szCs w:val="20"/>
          <w:lang w:val="en-US"/>
        </w:rPr>
        <w:t>Reference List)</w:t>
      </w:r>
    </w:p>
    <w:p w14:paraId="75C539B9" w14:textId="7EDEB291" w:rsidR="002E1EDC" w:rsidRPr="00316CD0" w:rsidRDefault="002E1EDC" w:rsidP="002477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Портфолио од изработени кампањи, вклучително и изработени материјали (визуелно – слики).</w:t>
      </w:r>
    </w:p>
    <w:p w14:paraId="75613422" w14:textId="021B527A" w:rsidR="0019316C" w:rsidRPr="00551CD5" w:rsidRDefault="0019316C" w:rsidP="007F7B1E">
      <w:pPr>
        <w:pStyle w:val="Heading1"/>
      </w:pPr>
      <w:bookmarkStart w:id="6" w:name="_Toc28013337"/>
      <w:r w:rsidRPr="00551CD5">
        <w:t>Оценување и избор на апликациите</w:t>
      </w:r>
      <w:bookmarkEnd w:id="6"/>
    </w:p>
    <w:p w14:paraId="4D2B33E6" w14:textId="5CEEBA5A" w:rsidR="006E1765" w:rsidRPr="006E1765" w:rsidRDefault="002E1EDC" w:rsidP="00535B62">
      <w:pPr>
        <w:jc w:val="both"/>
        <w:rPr>
          <w:szCs w:val="20"/>
          <w:lang w:val="en-US"/>
        </w:rPr>
      </w:pPr>
      <w:r>
        <w:rPr>
          <w:szCs w:val="20"/>
          <w:lang w:val="mk-MK"/>
        </w:rPr>
        <w:t>Апликациите</w:t>
      </w:r>
      <w:r w:rsidR="001B0A68" w:rsidRPr="00316CD0">
        <w:rPr>
          <w:szCs w:val="20"/>
          <w:lang w:val="mk-MK"/>
        </w:rPr>
        <w:t xml:space="preserve"> ќе ги оценува</w:t>
      </w:r>
      <w:r w:rsidR="00201685" w:rsidRPr="00316CD0">
        <w:rPr>
          <w:szCs w:val="20"/>
          <w:lang w:val="mk-MK"/>
        </w:rPr>
        <w:t xml:space="preserve"> </w:t>
      </w:r>
      <w:proofErr w:type="spellStart"/>
      <w:r w:rsidR="00201685" w:rsidRPr="00316CD0">
        <w:rPr>
          <w:szCs w:val="20"/>
          <w:lang w:val="mk-MK"/>
        </w:rPr>
        <w:t>евалуациона</w:t>
      </w:r>
      <w:proofErr w:type="spellEnd"/>
      <w:r w:rsidR="001B0A68" w:rsidRPr="00316CD0">
        <w:rPr>
          <w:szCs w:val="20"/>
          <w:lang w:val="mk-MK"/>
        </w:rPr>
        <w:t xml:space="preserve"> комис</w:t>
      </w:r>
      <w:r w:rsidR="00201685" w:rsidRPr="00316CD0">
        <w:rPr>
          <w:szCs w:val="20"/>
          <w:lang w:val="mk-MK"/>
        </w:rPr>
        <w:t xml:space="preserve">ија составена од </w:t>
      </w:r>
      <w:r w:rsidR="00CC7748">
        <w:rPr>
          <w:szCs w:val="20"/>
          <w:lang w:val="mk-MK"/>
        </w:rPr>
        <w:t>непарен број на членови со право на глас (најмалку тројца членови)</w:t>
      </w:r>
      <w:r w:rsidR="00201685" w:rsidRPr="00316CD0">
        <w:rPr>
          <w:szCs w:val="20"/>
          <w:lang w:val="mk-MK"/>
        </w:rPr>
        <w:t xml:space="preserve">. </w:t>
      </w:r>
      <w:r w:rsidR="006E1765">
        <w:rPr>
          <w:szCs w:val="20"/>
          <w:lang w:val="mk-MK"/>
        </w:rPr>
        <w:t xml:space="preserve">Апликациите по пристигнувањето ќе поминат административна проверка на која ќе биде проверено дали се поднесени во рамките на рокот и дали ги содржат сите потребни документи како што е пропишано во овој повик. </w:t>
      </w:r>
      <w:r w:rsidR="006E14A3">
        <w:rPr>
          <w:b/>
          <w:szCs w:val="20"/>
          <w:lang w:val="mk-MK"/>
        </w:rPr>
        <w:t>А</w:t>
      </w:r>
      <w:r w:rsidR="006E1765" w:rsidRPr="006E1765">
        <w:rPr>
          <w:b/>
          <w:szCs w:val="20"/>
          <w:lang w:val="mk-MK"/>
        </w:rPr>
        <w:t>пликации</w:t>
      </w:r>
      <w:r w:rsidR="006E14A3">
        <w:rPr>
          <w:b/>
          <w:szCs w:val="20"/>
          <w:lang w:val="mk-MK"/>
        </w:rPr>
        <w:t>те</w:t>
      </w:r>
      <w:r w:rsidR="006E1765" w:rsidRPr="006E1765">
        <w:rPr>
          <w:b/>
          <w:szCs w:val="20"/>
          <w:lang w:val="mk-MK"/>
        </w:rPr>
        <w:t xml:space="preserve"> кои ќе бидат поднесени по рокот и </w:t>
      </w:r>
      <w:r w:rsidR="00730E41">
        <w:rPr>
          <w:b/>
          <w:szCs w:val="20"/>
          <w:lang w:val="mk-MK"/>
        </w:rPr>
        <w:t>а</w:t>
      </w:r>
      <w:r w:rsidR="006E1765" w:rsidRPr="006E1765">
        <w:rPr>
          <w:b/>
          <w:szCs w:val="20"/>
          <w:lang w:val="mk-MK"/>
        </w:rPr>
        <w:t>пликации</w:t>
      </w:r>
      <w:r w:rsidR="00730E41">
        <w:rPr>
          <w:b/>
          <w:szCs w:val="20"/>
          <w:lang w:val="mk-MK"/>
        </w:rPr>
        <w:t>те</w:t>
      </w:r>
      <w:r w:rsidR="006E1765" w:rsidRPr="006E1765">
        <w:rPr>
          <w:b/>
          <w:szCs w:val="20"/>
          <w:lang w:val="mk-MK"/>
        </w:rPr>
        <w:t xml:space="preserve"> кои нема да ги содржат сите документи пропишани со овој повик ќе бидат одбиени на оваа основа</w:t>
      </w:r>
      <w:r w:rsidR="00742B21">
        <w:rPr>
          <w:b/>
          <w:szCs w:val="20"/>
          <w:lang w:val="mk-MK"/>
        </w:rPr>
        <w:t xml:space="preserve"> и ќе бидат исклучени од понатамошно разгледување</w:t>
      </w:r>
      <w:r w:rsidR="006E1765">
        <w:rPr>
          <w:b/>
          <w:szCs w:val="20"/>
          <w:lang w:val="mk-MK"/>
        </w:rPr>
        <w:t>.</w:t>
      </w:r>
    </w:p>
    <w:p w14:paraId="022DEF87" w14:textId="77777777" w:rsidR="00201685" w:rsidRPr="00316CD0" w:rsidRDefault="00201685" w:rsidP="00535B62">
      <w:pPr>
        <w:jc w:val="both"/>
        <w:rPr>
          <w:szCs w:val="20"/>
          <w:lang w:val="mk-MK"/>
        </w:rPr>
      </w:pPr>
    </w:p>
    <w:p w14:paraId="374AC9E9" w14:textId="006A0A48" w:rsidR="00201685" w:rsidRPr="002E1EDC" w:rsidRDefault="00201685" w:rsidP="00535B62">
      <w:pPr>
        <w:jc w:val="both"/>
        <w:rPr>
          <w:b/>
          <w:szCs w:val="20"/>
          <w:lang w:val="mk-MK"/>
        </w:rPr>
      </w:pPr>
      <w:r w:rsidRPr="002E1EDC">
        <w:rPr>
          <w:b/>
          <w:szCs w:val="20"/>
          <w:lang w:val="mk-MK"/>
        </w:rPr>
        <w:t>Критериуми за оценување</w:t>
      </w:r>
    </w:p>
    <w:p w14:paraId="7F192F83" w14:textId="783922DF" w:rsidR="00E5588C" w:rsidRDefault="00E5588C" w:rsidP="00535B62">
      <w:pPr>
        <w:jc w:val="both"/>
        <w:rPr>
          <w:szCs w:val="20"/>
          <w:lang w:val="mk-MK"/>
        </w:rPr>
      </w:pPr>
    </w:p>
    <w:p w14:paraId="42FBADB0" w14:textId="3DB0C3A3" w:rsidR="00E5588C" w:rsidRDefault="002E1EDC" w:rsidP="002E1EDC">
      <w:pPr>
        <w:jc w:val="both"/>
        <w:rPr>
          <w:szCs w:val="20"/>
          <w:lang w:val="mk-MK"/>
        </w:rPr>
      </w:pPr>
      <w:r>
        <w:rPr>
          <w:szCs w:val="20"/>
          <w:lang w:val="mk-MK"/>
        </w:rPr>
        <w:t>Бидејќи сумата за спроведување на договорот е фиксна, а</w:t>
      </w:r>
      <w:r w:rsidR="00E5588C">
        <w:rPr>
          <w:szCs w:val="20"/>
          <w:lang w:val="mk-MK"/>
        </w:rPr>
        <w:t>пликаци</w:t>
      </w:r>
      <w:r>
        <w:rPr>
          <w:szCs w:val="20"/>
          <w:lang w:val="mk-MK"/>
        </w:rPr>
        <w:t>ите ќе бидат оценувани исклучиво врз основа на квалитетот на понудата.</w:t>
      </w:r>
      <w:r w:rsidR="00E5588C">
        <w:rPr>
          <w:szCs w:val="20"/>
          <w:lang w:val="mk-MK"/>
        </w:rPr>
        <w:t xml:space="preserve"> Оценувани ќе бидат релевантноста на апликацијата во однос на целите на проектот и овој повик, препораките во овој повик, дизајнот на акцијата и реалистичноста и ефикасноста на буџетот.</w:t>
      </w:r>
    </w:p>
    <w:p w14:paraId="414E2865" w14:textId="7435F6A7" w:rsidR="007861F6" w:rsidRDefault="007861F6" w:rsidP="002E1EDC">
      <w:pPr>
        <w:jc w:val="both"/>
        <w:rPr>
          <w:szCs w:val="20"/>
          <w:lang w:val="mk-MK"/>
        </w:rPr>
      </w:pPr>
    </w:p>
    <w:p w14:paraId="5544635F" w14:textId="6F489CCA" w:rsidR="007861F6" w:rsidRDefault="007861F6" w:rsidP="002E1EDC">
      <w:pPr>
        <w:jc w:val="both"/>
        <w:rPr>
          <w:szCs w:val="20"/>
          <w:lang w:val="en-US"/>
        </w:rPr>
      </w:pPr>
      <w:r>
        <w:rPr>
          <w:szCs w:val="20"/>
          <w:lang w:val="mk-MK"/>
        </w:rPr>
        <w:t>Бодувањето на понудите ќе биде спроведено на следниов начин</w:t>
      </w:r>
      <w:r>
        <w:rPr>
          <w:szCs w:val="20"/>
          <w:lang w:val="en-US"/>
        </w:rPr>
        <w:t>:</w:t>
      </w:r>
    </w:p>
    <w:p w14:paraId="5537B77D" w14:textId="1DE879BE" w:rsidR="007861F6" w:rsidRPr="007861F6" w:rsidRDefault="007861F6" w:rsidP="007861F6">
      <w:pPr>
        <w:jc w:val="both"/>
        <w:rPr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61F6" w14:paraId="2D4CCC21" w14:textId="77777777" w:rsidTr="007F7B1E">
        <w:tc>
          <w:tcPr>
            <w:tcW w:w="4675" w:type="dxa"/>
            <w:shd w:val="clear" w:color="auto" w:fill="BDD6EE" w:themeFill="accent1" w:themeFillTint="66"/>
          </w:tcPr>
          <w:p w14:paraId="75FAD7A0" w14:textId="6DDEE5F6" w:rsidR="007861F6" w:rsidRDefault="007F7B1E" w:rsidP="00535B62">
            <w:pPr>
              <w:jc w:val="both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Критериум за оценување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14:paraId="332F012C" w14:textId="2A7BC6A0" w:rsidR="007861F6" w:rsidRPr="007861F6" w:rsidRDefault="007861F6" w:rsidP="007861F6">
            <w:pPr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Максимални Поени</w:t>
            </w:r>
          </w:p>
        </w:tc>
      </w:tr>
      <w:tr w:rsidR="007861F6" w14:paraId="1F6FD680" w14:textId="77777777" w:rsidTr="007861F6">
        <w:tc>
          <w:tcPr>
            <w:tcW w:w="4675" w:type="dxa"/>
          </w:tcPr>
          <w:p w14:paraId="763FCAFA" w14:textId="5162198D" w:rsidR="007861F6" w:rsidRDefault="007861F6" w:rsidP="007861F6">
            <w:pPr>
              <w:jc w:val="both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 xml:space="preserve">Опис на предлогот (Потреба и проблем, Цел и краткорочни цели, Очекувани резултати) </w:t>
            </w:r>
          </w:p>
        </w:tc>
        <w:tc>
          <w:tcPr>
            <w:tcW w:w="4675" w:type="dxa"/>
          </w:tcPr>
          <w:p w14:paraId="085AD37B" w14:textId="2E6CDAD7" w:rsidR="007861F6" w:rsidRDefault="007861F6" w:rsidP="007861F6">
            <w:pPr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10</w:t>
            </w:r>
          </w:p>
        </w:tc>
      </w:tr>
      <w:tr w:rsidR="007861F6" w14:paraId="4C5EF57E" w14:textId="77777777" w:rsidTr="007861F6">
        <w:tc>
          <w:tcPr>
            <w:tcW w:w="4675" w:type="dxa"/>
          </w:tcPr>
          <w:p w14:paraId="2084A48C" w14:textId="7999B269" w:rsidR="007861F6" w:rsidRDefault="007861F6" w:rsidP="007861F6">
            <w:pPr>
              <w:jc w:val="both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Опис на предлогот – Активности</w:t>
            </w:r>
          </w:p>
        </w:tc>
        <w:tc>
          <w:tcPr>
            <w:tcW w:w="4675" w:type="dxa"/>
          </w:tcPr>
          <w:p w14:paraId="1BA9639B" w14:textId="5D4CB616" w:rsidR="007861F6" w:rsidRDefault="007861F6" w:rsidP="007861F6">
            <w:pPr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10</w:t>
            </w:r>
          </w:p>
        </w:tc>
      </w:tr>
      <w:tr w:rsidR="007861F6" w14:paraId="53E998BE" w14:textId="77777777" w:rsidTr="007861F6">
        <w:tc>
          <w:tcPr>
            <w:tcW w:w="4675" w:type="dxa"/>
          </w:tcPr>
          <w:p w14:paraId="71FCC7D9" w14:textId="3E5BA9E7" w:rsidR="007861F6" w:rsidRDefault="007861F6" w:rsidP="007861F6">
            <w:pPr>
              <w:jc w:val="both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Опис на предлогот – Методологија</w:t>
            </w:r>
          </w:p>
        </w:tc>
        <w:tc>
          <w:tcPr>
            <w:tcW w:w="4675" w:type="dxa"/>
          </w:tcPr>
          <w:p w14:paraId="098BD150" w14:textId="0BC69CE4" w:rsidR="007861F6" w:rsidRDefault="007861F6" w:rsidP="007861F6">
            <w:pPr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10</w:t>
            </w:r>
          </w:p>
        </w:tc>
      </w:tr>
      <w:tr w:rsidR="007861F6" w14:paraId="7A7B1251" w14:textId="77777777" w:rsidTr="007861F6">
        <w:tc>
          <w:tcPr>
            <w:tcW w:w="4675" w:type="dxa"/>
          </w:tcPr>
          <w:p w14:paraId="43959115" w14:textId="2A4E52A7" w:rsidR="007861F6" w:rsidRDefault="007861F6" w:rsidP="007861F6">
            <w:pPr>
              <w:jc w:val="both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Опис на предлогот – Алокација на буџет</w:t>
            </w:r>
          </w:p>
        </w:tc>
        <w:tc>
          <w:tcPr>
            <w:tcW w:w="4675" w:type="dxa"/>
          </w:tcPr>
          <w:p w14:paraId="5BEBA739" w14:textId="16698677" w:rsidR="007861F6" w:rsidRDefault="007861F6" w:rsidP="007861F6">
            <w:pPr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10</w:t>
            </w:r>
          </w:p>
        </w:tc>
      </w:tr>
      <w:tr w:rsidR="007861F6" w14:paraId="392860B5" w14:textId="77777777" w:rsidTr="007861F6">
        <w:tc>
          <w:tcPr>
            <w:tcW w:w="4675" w:type="dxa"/>
          </w:tcPr>
          <w:p w14:paraId="5E7A9ABF" w14:textId="17A031A3" w:rsidR="007861F6" w:rsidRDefault="007861F6" w:rsidP="007861F6">
            <w:pPr>
              <w:jc w:val="both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Капацитет на организацијата</w:t>
            </w:r>
          </w:p>
        </w:tc>
        <w:tc>
          <w:tcPr>
            <w:tcW w:w="4675" w:type="dxa"/>
          </w:tcPr>
          <w:p w14:paraId="208F6BD4" w14:textId="19B00DCF" w:rsidR="007861F6" w:rsidRDefault="007861F6" w:rsidP="007861F6">
            <w:pPr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20</w:t>
            </w:r>
          </w:p>
        </w:tc>
      </w:tr>
      <w:tr w:rsidR="007861F6" w14:paraId="530299BB" w14:textId="77777777" w:rsidTr="00EB51C6">
        <w:tc>
          <w:tcPr>
            <w:tcW w:w="4675" w:type="dxa"/>
          </w:tcPr>
          <w:p w14:paraId="38778161" w14:textId="77777777" w:rsidR="007861F6" w:rsidRDefault="007861F6" w:rsidP="007861F6">
            <w:pPr>
              <w:jc w:val="both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Листа на претходни проекти</w:t>
            </w:r>
          </w:p>
        </w:tc>
        <w:tc>
          <w:tcPr>
            <w:tcW w:w="4675" w:type="dxa"/>
          </w:tcPr>
          <w:p w14:paraId="5BAB3AFB" w14:textId="570936BD" w:rsidR="007861F6" w:rsidRDefault="007861F6" w:rsidP="007861F6">
            <w:pPr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20</w:t>
            </w:r>
          </w:p>
        </w:tc>
      </w:tr>
      <w:tr w:rsidR="007F7B1E" w14:paraId="74FFD742" w14:textId="77777777" w:rsidTr="00725289">
        <w:tc>
          <w:tcPr>
            <w:tcW w:w="4675" w:type="dxa"/>
          </w:tcPr>
          <w:p w14:paraId="50FB4587" w14:textId="77777777" w:rsidR="007F7B1E" w:rsidRDefault="007F7B1E" w:rsidP="00725289">
            <w:pPr>
              <w:jc w:val="both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Портфолио од изработени кампањи и материјали</w:t>
            </w:r>
          </w:p>
        </w:tc>
        <w:tc>
          <w:tcPr>
            <w:tcW w:w="4675" w:type="dxa"/>
          </w:tcPr>
          <w:p w14:paraId="52A73DEF" w14:textId="77777777" w:rsidR="007F7B1E" w:rsidRDefault="007F7B1E" w:rsidP="00725289">
            <w:pPr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20</w:t>
            </w:r>
          </w:p>
        </w:tc>
      </w:tr>
      <w:tr w:rsidR="007861F6" w14:paraId="12D5EA01" w14:textId="77777777" w:rsidTr="007F7B1E">
        <w:tc>
          <w:tcPr>
            <w:tcW w:w="4675" w:type="dxa"/>
            <w:shd w:val="clear" w:color="auto" w:fill="BDD6EE" w:themeFill="accent1" w:themeFillTint="66"/>
          </w:tcPr>
          <w:p w14:paraId="5D12DE89" w14:textId="7E9AD7DF" w:rsidR="007861F6" w:rsidRDefault="007F7B1E" w:rsidP="007861F6">
            <w:pPr>
              <w:jc w:val="both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Максимален број на поени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14:paraId="37F0255B" w14:textId="7880F8FE" w:rsidR="007861F6" w:rsidRDefault="007F7B1E" w:rsidP="007861F6">
            <w:pPr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100</w:t>
            </w:r>
          </w:p>
        </w:tc>
      </w:tr>
    </w:tbl>
    <w:p w14:paraId="411A12F4" w14:textId="2524484C" w:rsidR="00E5588C" w:rsidRDefault="00E5588C" w:rsidP="00535B62">
      <w:pPr>
        <w:jc w:val="both"/>
        <w:rPr>
          <w:szCs w:val="20"/>
          <w:lang w:val="mk-MK"/>
        </w:rPr>
      </w:pPr>
    </w:p>
    <w:p w14:paraId="7BF64932" w14:textId="6F65623C" w:rsidR="007861F6" w:rsidRDefault="007861F6" w:rsidP="00535B62">
      <w:pPr>
        <w:jc w:val="both"/>
        <w:rPr>
          <w:szCs w:val="20"/>
          <w:lang w:val="mk-MK"/>
        </w:rPr>
      </w:pPr>
      <w:r>
        <w:rPr>
          <w:szCs w:val="20"/>
          <w:lang w:val="mk-MK"/>
        </w:rPr>
        <w:t>Организацијата/ компанијата која ќе има најмногу поени, ќе биде одбрана од страна на комисијата.</w:t>
      </w:r>
    </w:p>
    <w:sectPr w:rsidR="007861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3FA6" w14:textId="77777777" w:rsidR="00A65A2F" w:rsidRDefault="00A65A2F" w:rsidP="0019316C">
      <w:r>
        <w:separator/>
      </w:r>
    </w:p>
  </w:endnote>
  <w:endnote w:type="continuationSeparator" w:id="0">
    <w:p w14:paraId="1A746C36" w14:textId="77777777" w:rsidR="00A65A2F" w:rsidRDefault="00A65A2F" w:rsidP="0019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45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03C58" w14:textId="42F7E619" w:rsidR="00CF0328" w:rsidRDefault="00CF03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75C4D" w14:textId="77777777" w:rsidR="00CF0328" w:rsidRDefault="00CF0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DC211" w14:textId="77777777" w:rsidR="00A65A2F" w:rsidRDefault="00A65A2F" w:rsidP="0019316C">
      <w:r>
        <w:separator/>
      </w:r>
    </w:p>
  </w:footnote>
  <w:footnote w:type="continuationSeparator" w:id="0">
    <w:p w14:paraId="13162DD9" w14:textId="77777777" w:rsidR="00A65A2F" w:rsidRDefault="00A65A2F" w:rsidP="0019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66AF" w14:textId="121C1B1C" w:rsidR="0019316C" w:rsidRPr="00E05FE8" w:rsidRDefault="00E05FE8" w:rsidP="009D5E18">
    <w:pPr>
      <w:pStyle w:val="Header"/>
      <w:jc w:val="both"/>
      <w:rPr>
        <w:szCs w:val="20"/>
        <w:lang w:val="mk-MK"/>
      </w:rPr>
    </w:pPr>
    <w:r w:rsidRPr="00E05FE8">
      <w:rPr>
        <w:noProof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96030E3" wp14:editId="09A2B4D5">
          <wp:simplePos x="0" y="0"/>
          <wp:positionH relativeFrom="margin">
            <wp:posOffset>-336550</wp:posOffset>
          </wp:positionH>
          <wp:positionV relativeFrom="margin">
            <wp:posOffset>-488950</wp:posOffset>
          </wp:positionV>
          <wp:extent cx="679450" cy="451485"/>
          <wp:effectExtent l="0" t="0" r="635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16C" w:rsidRPr="00E05FE8">
      <w:rPr>
        <w:szCs w:val="20"/>
        <w:lang w:val="mk-MK"/>
      </w:rPr>
      <w:t>Проект</w:t>
    </w:r>
    <w:r w:rsidRPr="00E05FE8">
      <w:rPr>
        <w:szCs w:val="20"/>
        <w:lang w:val="mk-MK"/>
      </w:rPr>
      <w:t>от</w:t>
    </w:r>
    <w:r w:rsidR="0019316C" w:rsidRPr="00E05FE8">
      <w:rPr>
        <w:szCs w:val="20"/>
        <w:lang w:val="mk-MK"/>
      </w:rPr>
      <w:t xml:space="preserve"> „Да зборуваме за климатските промени“</w:t>
    </w:r>
    <w:r w:rsidRPr="00E05FE8">
      <w:rPr>
        <w:szCs w:val="20"/>
        <w:lang w:val="mk-MK"/>
      </w:rPr>
      <w:t xml:space="preserve"> е спроведуван од Еко-свест, ЦНВП и ДЕМ. </w:t>
    </w:r>
    <w:r w:rsidR="0019316C" w:rsidRPr="00E05FE8">
      <w:rPr>
        <w:szCs w:val="20"/>
        <w:lang w:val="mk-MK"/>
      </w:rPr>
      <w:t>Проектот е финансиран од Европската унија</w:t>
    </w:r>
    <w:r w:rsidRPr="00E05FE8">
      <w:rPr>
        <w:szCs w:val="20"/>
        <w:lang w:val="mk-MK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9A10D6F"/>
    <w:multiLevelType w:val="hybridMultilevel"/>
    <w:tmpl w:val="26C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4C7"/>
    <w:multiLevelType w:val="hybridMultilevel"/>
    <w:tmpl w:val="9648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8DB"/>
    <w:multiLevelType w:val="hybridMultilevel"/>
    <w:tmpl w:val="6C62447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73"/>
    <w:multiLevelType w:val="hybridMultilevel"/>
    <w:tmpl w:val="9B90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4E1E"/>
    <w:multiLevelType w:val="multilevel"/>
    <w:tmpl w:val="121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D1F7B"/>
    <w:multiLevelType w:val="hybridMultilevel"/>
    <w:tmpl w:val="F34AEC40"/>
    <w:lvl w:ilvl="0" w:tplc="9B28D62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62FE"/>
    <w:multiLevelType w:val="hybridMultilevel"/>
    <w:tmpl w:val="BEAE8AA8"/>
    <w:lvl w:ilvl="0" w:tplc="F3722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C6479"/>
    <w:multiLevelType w:val="hybridMultilevel"/>
    <w:tmpl w:val="780A8724"/>
    <w:lvl w:ilvl="0" w:tplc="F75E98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90DDA"/>
    <w:multiLevelType w:val="hybridMultilevel"/>
    <w:tmpl w:val="15245B76"/>
    <w:lvl w:ilvl="0" w:tplc="D9B4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D0E59"/>
    <w:multiLevelType w:val="hybridMultilevel"/>
    <w:tmpl w:val="2EFA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15DD1"/>
    <w:multiLevelType w:val="hybridMultilevel"/>
    <w:tmpl w:val="B8729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6FAA"/>
    <w:multiLevelType w:val="hybridMultilevel"/>
    <w:tmpl w:val="4F12EB42"/>
    <w:lvl w:ilvl="0" w:tplc="C882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6C"/>
    <w:rsid w:val="0000080F"/>
    <w:rsid w:val="00005AB9"/>
    <w:rsid w:val="00005E9B"/>
    <w:rsid w:val="000347D5"/>
    <w:rsid w:val="00051CF5"/>
    <w:rsid w:val="00052615"/>
    <w:rsid w:val="00060715"/>
    <w:rsid w:val="00062D15"/>
    <w:rsid w:val="000637E6"/>
    <w:rsid w:val="000666FD"/>
    <w:rsid w:val="000C6D17"/>
    <w:rsid w:val="000D2F2E"/>
    <w:rsid w:val="000D47F2"/>
    <w:rsid w:val="000F4A9B"/>
    <w:rsid w:val="000F7FCD"/>
    <w:rsid w:val="00100552"/>
    <w:rsid w:val="00111DE9"/>
    <w:rsid w:val="00112A37"/>
    <w:rsid w:val="001625EC"/>
    <w:rsid w:val="00176225"/>
    <w:rsid w:val="00176491"/>
    <w:rsid w:val="001927ED"/>
    <w:rsid w:val="0019316C"/>
    <w:rsid w:val="00194408"/>
    <w:rsid w:val="001A0D1F"/>
    <w:rsid w:val="001A219A"/>
    <w:rsid w:val="001B0A68"/>
    <w:rsid w:val="001B213E"/>
    <w:rsid w:val="001B25F8"/>
    <w:rsid w:val="001D70F0"/>
    <w:rsid w:val="001E7496"/>
    <w:rsid w:val="001F755F"/>
    <w:rsid w:val="00200CC4"/>
    <w:rsid w:val="00201685"/>
    <w:rsid w:val="00207EE3"/>
    <w:rsid w:val="00234DBC"/>
    <w:rsid w:val="00242A91"/>
    <w:rsid w:val="0024692E"/>
    <w:rsid w:val="0024770B"/>
    <w:rsid w:val="00256A08"/>
    <w:rsid w:val="00266F61"/>
    <w:rsid w:val="00273D40"/>
    <w:rsid w:val="00297EF0"/>
    <w:rsid w:val="002B4985"/>
    <w:rsid w:val="002C5AF3"/>
    <w:rsid w:val="002E1EDC"/>
    <w:rsid w:val="002E39B0"/>
    <w:rsid w:val="00316CD0"/>
    <w:rsid w:val="0031755A"/>
    <w:rsid w:val="003259BC"/>
    <w:rsid w:val="00356497"/>
    <w:rsid w:val="003630C1"/>
    <w:rsid w:val="00372327"/>
    <w:rsid w:val="00373DDA"/>
    <w:rsid w:val="00387B62"/>
    <w:rsid w:val="00394EE6"/>
    <w:rsid w:val="003C0BCA"/>
    <w:rsid w:val="003C16D6"/>
    <w:rsid w:val="003D5ECC"/>
    <w:rsid w:val="003E0012"/>
    <w:rsid w:val="003E023D"/>
    <w:rsid w:val="003E3925"/>
    <w:rsid w:val="003F4080"/>
    <w:rsid w:val="0040254E"/>
    <w:rsid w:val="0040495F"/>
    <w:rsid w:val="00404C6C"/>
    <w:rsid w:val="004124E3"/>
    <w:rsid w:val="0041453D"/>
    <w:rsid w:val="00416701"/>
    <w:rsid w:val="00424881"/>
    <w:rsid w:val="0042743F"/>
    <w:rsid w:val="00470A5B"/>
    <w:rsid w:val="0049230F"/>
    <w:rsid w:val="00493E11"/>
    <w:rsid w:val="004975C3"/>
    <w:rsid w:val="004B4725"/>
    <w:rsid w:val="004B6F4B"/>
    <w:rsid w:val="004C29F8"/>
    <w:rsid w:val="004C3991"/>
    <w:rsid w:val="004D2748"/>
    <w:rsid w:val="004D3F7A"/>
    <w:rsid w:val="004E4AA1"/>
    <w:rsid w:val="004F6C4D"/>
    <w:rsid w:val="004F72A8"/>
    <w:rsid w:val="00500DB3"/>
    <w:rsid w:val="00513168"/>
    <w:rsid w:val="00535B62"/>
    <w:rsid w:val="00551CD5"/>
    <w:rsid w:val="00562F00"/>
    <w:rsid w:val="0057188F"/>
    <w:rsid w:val="005864C1"/>
    <w:rsid w:val="00595FC5"/>
    <w:rsid w:val="005B3CFC"/>
    <w:rsid w:val="005B5F0E"/>
    <w:rsid w:val="005D1FA1"/>
    <w:rsid w:val="005D34AF"/>
    <w:rsid w:val="00600B8A"/>
    <w:rsid w:val="00600C00"/>
    <w:rsid w:val="00613A89"/>
    <w:rsid w:val="0061757B"/>
    <w:rsid w:val="0068396B"/>
    <w:rsid w:val="00694434"/>
    <w:rsid w:val="00695161"/>
    <w:rsid w:val="006B0835"/>
    <w:rsid w:val="006B3778"/>
    <w:rsid w:val="006B574F"/>
    <w:rsid w:val="006B7D84"/>
    <w:rsid w:val="006C5199"/>
    <w:rsid w:val="006D181A"/>
    <w:rsid w:val="006E14A3"/>
    <w:rsid w:val="006E1765"/>
    <w:rsid w:val="006F58C0"/>
    <w:rsid w:val="0070446C"/>
    <w:rsid w:val="00712ECA"/>
    <w:rsid w:val="007168CB"/>
    <w:rsid w:val="00730E41"/>
    <w:rsid w:val="00733BC5"/>
    <w:rsid w:val="00733EFC"/>
    <w:rsid w:val="00742B21"/>
    <w:rsid w:val="00743426"/>
    <w:rsid w:val="00747F45"/>
    <w:rsid w:val="00762B77"/>
    <w:rsid w:val="00765F40"/>
    <w:rsid w:val="00784A79"/>
    <w:rsid w:val="007861F6"/>
    <w:rsid w:val="007E0440"/>
    <w:rsid w:val="007E54E2"/>
    <w:rsid w:val="007F7B1E"/>
    <w:rsid w:val="00821152"/>
    <w:rsid w:val="008451E8"/>
    <w:rsid w:val="0084545B"/>
    <w:rsid w:val="008A7027"/>
    <w:rsid w:val="008B663A"/>
    <w:rsid w:val="008C30D0"/>
    <w:rsid w:val="008D1AF4"/>
    <w:rsid w:val="008D3BD4"/>
    <w:rsid w:val="008E3AD0"/>
    <w:rsid w:val="008E71AF"/>
    <w:rsid w:val="0090253F"/>
    <w:rsid w:val="00914380"/>
    <w:rsid w:val="009230F6"/>
    <w:rsid w:val="0096755E"/>
    <w:rsid w:val="009813D5"/>
    <w:rsid w:val="00983564"/>
    <w:rsid w:val="0098717E"/>
    <w:rsid w:val="009A46CC"/>
    <w:rsid w:val="009C2E57"/>
    <w:rsid w:val="009D5E18"/>
    <w:rsid w:val="009D7023"/>
    <w:rsid w:val="009E2F17"/>
    <w:rsid w:val="00A226DF"/>
    <w:rsid w:val="00A3647C"/>
    <w:rsid w:val="00A65A2F"/>
    <w:rsid w:val="00A70452"/>
    <w:rsid w:val="00A77412"/>
    <w:rsid w:val="00A8462F"/>
    <w:rsid w:val="00A87CD3"/>
    <w:rsid w:val="00A91FCB"/>
    <w:rsid w:val="00AA0EDD"/>
    <w:rsid w:val="00AB1189"/>
    <w:rsid w:val="00AB4701"/>
    <w:rsid w:val="00AB76FB"/>
    <w:rsid w:val="00AC21DD"/>
    <w:rsid w:val="00AC43A7"/>
    <w:rsid w:val="00AF009D"/>
    <w:rsid w:val="00B10F86"/>
    <w:rsid w:val="00B9012D"/>
    <w:rsid w:val="00B96F44"/>
    <w:rsid w:val="00BA3466"/>
    <w:rsid w:val="00BB5ABC"/>
    <w:rsid w:val="00BC4093"/>
    <w:rsid w:val="00BC4D99"/>
    <w:rsid w:val="00BC6DC4"/>
    <w:rsid w:val="00BE7361"/>
    <w:rsid w:val="00BE777E"/>
    <w:rsid w:val="00BF0CF5"/>
    <w:rsid w:val="00C25C83"/>
    <w:rsid w:val="00C337C9"/>
    <w:rsid w:val="00C65942"/>
    <w:rsid w:val="00C765CC"/>
    <w:rsid w:val="00C95A5E"/>
    <w:rsid w:val="00CA44D9"/>
    <w:rsid w:val="00CB34C4"/>
    <w:rsid w:val="00CB55FB"/>
    <w:rsid w:val="00CC7748"/>
    <w:rsid w:val="00CD7B43"/>
    <w:rsid w:val="00CF0328"/>
    <w:rsid w:val="00D0272F"/>
    <w:rsid w:val="00D47638"/>
    <w:rsid w:val="00D53B7A"/>
    <w:rsid w:val="00D70071"/>
    <w:rsid w:val="00D74056"/>
    <w:rsid w:val="00DB0603"/>
    <w:rsid w:val="00DB357F"/>
    <w:rsid w:val="00DE61C2"/>
    <w:rsid w:val="00E03AA6"/>
    <w:rsid w:val="00E05FE8"/>
    <w:rsid w:val="00E122A6"/>
    <w:rsid w:val="00E352D4"/>
    <w:rsid w:val="00E47BD5"/>
    <w:rsid w:val="00E53833"/>
    <w:rsid w:val="00E5588C"/>
    <w:rsid w:val="00E561D6"/>
    <w:rsid w:val="00E625B0"/>
    <w:rsid w:val="00E7100E"/>
    <w:rsid w:val="00E96B7E"/>
    <w:rsid w:val="00E97A47"/>
    <w:rsid w:val="00E97F44"/>
    <w:rsid w:val="00EC5864"/>
    <w:rsid w:val="00ED4B05"/>
    <w:rsid w:val="00EE23FC"/>
    <w:rsid w:val="00EF0158"/>
    <w:rsid w:val="00EF5454"/>
    <w:rsid w:val="00F014AA"/>
    <w:rsid w:val="00F04B30"/>
    <w:rsid w:val="00F04EBC"/>
    <w:rsid w:val="00F16B34"/>
    <w:rsid w:val="00F31885"/>
    <w:rsid w:val="00F67A53"/>
    <w:rsid w:val="00F74186"/>
    <w:rsid w:val="00F8152B"/>
    <w:rsid w:val="00FA1CC6"/>
    <w:rsid w:val="00FA1F95"/>
    <w:rsid w:val="00FA34C5"/>
    <w:rsid w:val="00FC0B46"/>
    <w:rsid w:val="00FC2B5E"/>
    <w:rsid w:val="00FE2730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E8554"/>
  <w15:chartTrackingRefBased/>
  <w15:docId w15:val="{6FD24F7C-A928-4D1C-8E7A-FBC595D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B1E"/>
    <w:pPr>
      <w:keepNext/>
      <w:keepLines/>
      <w:spacing w:before="240" w:after="240"/>
      <w:outlineLvl w:val="0"/>
    </w:pPr>
    <w:rPr>
      <w:rFonts w:eastAsiaTheme="majorEastAsia"/>
      <w:color w:val="2E74B5" w:themeColor="accent1" w:themeShade="BF"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3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6C"/>
    <w:rPr>
      <w:lang w:val="en-GB"/>
    </w:rPr>
  </w:style>
  <w:style w:type="paragraph" w:styleId="ListParagraph">
    <w:name w:val="List Paragraph"/>
    <w:basedOn w:val="Normal"/>
    <w:uiPriority w:val="34"/>
    <w:qFormat/>
    <w:rsid w:val="002E39B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B1E"/>
    <w:rPr>
      <w:rFonts w:eastAsiaTheme="majorEastAsia"/>
      <w:color w:val="2E74B5" w:themeColor="accent1" w:themeShade="BF"/>
      <w:sz w:val="28"/>
      <w:szCs w:val="28"/>
      <w:lang w:val="mk-MK"/>
    </w:rPr>
  </w:style>
  <w:style w:type="paragraph" w:styleId="TOCHeading">
    <w:name w:val="TOC Heading"/>
    <w:basedOn w:val="Heading1"/>
    <w:next w:val="Normal"/>
    <w:uiPriority w:val="39"/>
    <w:unhideWhenUsed/>
    <w:qFormat/>
    <w:rsid w:val="003630C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30C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630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1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186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186"/>
    <w:rPr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86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CA44D9"/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A44D9"/>
    <w:rPr>
      <w:rFonts w:asciiTheme="minorHAnsi" w:eastAsiaTheme="minorEastAsia" w:hAnsiTheme="minorHAnsi" w:cstheme="minorBidi"/>
      <w:sz w:val="22"/>
    </w:rPr>
  </w:style>
  <w:style w:type="table" w:styleId="TableGrid">
    <w:name w:val="Table Grid"/>
    <w:basedOn w:val="TableNormal"/>
    <w:uiPriority w:val="39"/>
    <w:rsid w:val="00E5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7DF4-2625-415F-B17C-378684CF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Angel</cp:lastModifiedBy>
  <cp:revision>7</cp:revision>
  <dcterms:created xsi:type="dcterms:W3CDTF">2019-12-23T13:41:00Z</dcterms:created>
  <dcterms:modified xsi:type="dcterms:W3CDTF">2019-12-23T16:08:00Z</dcterms:modified>
</cp:coreProperties>
</file>